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6D861A0" w:rsidR="006D3016" w:rsidRPr="00D41218" w:rsidRDefault="006D3016" w:rsidP="0019070E">
      <w:pPr>
        <w:widowControl w:val="0"/>
        <w:tabs>
          <w:tab w:val="right" w:pos="9639"/>
        </w:tabs>
        <w:spacing w:after="0"/>
        <w:jc w:val="left"/>
        <w:rPr>
          <w:rFonts w:ascii="Arial" w:eastAsia="Times New Roman" w:hAnsi="Arial"/>
          <w:b/>
          <w:bCs/>
          <w:i/>
          <w:sz w:val="24"/>
          <w:szCs w:val="24"/>
        </w:rPr>
      </w:pPr>
      <w:r w:rsidRPr="00BD4667">
        <w:rPr>
          <w:rFonts w:ascii="Arial" w:eastAsia="Times New Roman" w:hAnsi="Arial" w:cs="Arial"/>
          <w:b/>
          <w:bCs/>
          <w:sz w:val="24"/>
          <w:szCs w:val="24"/>
          <w:lang w:val="en-GB"/>
        </w:rPr>
        <w:t>3GPP T</w:t>
      </w:r>
      <w:bookmarkStart w:id="0" w:name="_Ref452454252"/>
      <w:bookmarkEnd w:id="0"/>
      <w:r w:rsidRPr="00BD4667">
        <w:rPr>
          <w:rFonts w:ascii="Arial" w:eastAsia="Times New Roman" w:hAnsi="Arial" w:cs="Arial"/>
          <w:b/>
          <w:bCs/>
          <w:sz w:val="24"/>
          <w:szCs w:val="24"/>
          <w:lang w:val="en-GB"/>
        </w:rPr>
        <w:t xml:space="preserve">SG-RAN </w:t>
      </w:r>
      <w:r w:rsidRPr="00BD4667">
        <w:rPr>
          <w:rFonts w:ascii="Arial" w:eastAsia="Times New Roman" w:hAnsi="Arial" w:cs="Arial"/>
          <w:b/>
          <w:sz w:val="24"/>
          <w:szCs w:val="24"/>
          <w:lang w:val="en-GB"/>
        </w:rPr>
        <w:t xml:space="preserve">WG2 Meeting </w:t>
      </w:r>
      <w:r w:rsidR="002C5D1F" w:rsidRPr="00BD4667">
        <w:rPr>
          <w:rFonts w:ascii="Arial" w:eastAsia="Times New Roman" w:hAnsi="Arial" w:cs="Arial"/>
          <w:b/>
          <w:sz w:val="24"/>
          <w:szCs w:val="24"/>
          <w:lang w:val="en-GB"/>
        </w:rPr>
        <w:t>#11</w:t>
      </w:r>
      <w:r w:rsidR="00FF1AB4">
        <w:rPr>
          <w:rFonts w:ascii="Arial" w:eastAsia="Times New Roman" w:hAnsi="Arial" w:cs="Arial"/>
          <w:b/>
          <w:sz w:val="24"/>
          <w:szCs w:val="24"/>
          <w:lang w:val="en-GB"/>
        </w:rPr>
        <w:t>4</w:t>
      </w:r>
      <w:r w:rsidR="0019070E">
        <w:rPr>
          <w:rFonts w:ascii="Arial" w:eastAsia="Times New Roman" w:hAnsi="Arial" w:cs="Arial"/>
          <w:b/>
          <w:sz w:val="24"/>
          <w:szCs w:val="24"/>
          <w:lang w:val="en-GB"/>
        </w:rPr>
        <w:t>-e</w:t>
      </w:r>
      <w:r w:rsidR="002C5D1F" w:rsidRPr="00BD4667">
        <w:rPr>
          <w:rFonts w:ascii="Arial" w:eastAsiaTheme="minorEastAsia" w:hAnsi="Arial" w:cs="Arial"/>
          <w:b/>
          <w:sz w:val="24"/>
          <w:szCs w:val="24"/>
          <w:lang w:val="en-GB"/>
        </w:rPr>
        <w:t xml:space="preserve"> </w:t>
      </w:r>
      <w:r w:rsidRPr="00250190">
        <w:rPr>
          <w:rFonts w:ascii="Arial" w:eastAsia="Times New Roman" w:hAnsi="Arial"/>
          <w:b/>
          <w:bCs/>
          <w:sz w:val="24"/>
          <w:szCs w:val="24"/>
          <w:lang w:val="en-GB"/>
        </w:rPr>
        <w:tab/>
      </w:r>
      <w:r w:rsidR="00D41218" w:rsidRPr="00D41218">
        <w:rPr>
          <w:rFonts w:ascii="Arial" w:eastAsia="Times New Roman" w:hAnsi="Arial"/>
          <w:b/>
          <w:bCs/>
          <w:sz w:val="24"/>
          <w:szCs w:val="24"/>
          <w:lang w:val="en-GB"/>
        </w:rPr>
        <w:t>R2-2105635</w:t>
      </w:r>
    </w:p>
    <w:p w14:paraId="48032B1F" w14:textId="77777777" w:rsidR="0019070E" w:rsidRDefault="0019070E" w:rsidP="0019070E">
      <w:pPr>
        <w:tabs>
          <w:tab w:val="left" w:pos="1985"/>
          <w:tab w:val="right" w:pos="9639"/>
        </w:tabs>
        <w:spacing w:after="100" w:afterAutospacing="1"/>
        <w:rPr>
          <w:rFonts w:ascii="Arial" w:hAnsi="Arial" w:cs="Arial"/>
          <w:b/>
          <w:noProof/>
          <w:szCs w:val="22"/>
        </w:rPr>
      </w:pPr>
      <w:r w:rsidRPr="00C746CB">
        <w:rPr>
          <w:rFonts w:ascii="Arial" w:hAnsi="Arial" w:cs="Arial"/>
          <w:b/>
          <w:noProof/>
          <w:szCs w:val="22"/>
        </w:rPr>
        <w:t>Electronic, 1</w:t>
      </w:r>
      <w:r>
        <w:rPr>
          <w:rFonts w:ascii="Arial" w:hAnsi="Arial" w:cs="Arial"/>
          <w:b/>
          <w:noProof/>
          <w:szCs w:val="22"/>
        </w:rPr>
        <w:t>9</w:t>
      </w:r>
      <w:r w:rsidRPr="00C746CB">
        <w:rPr>
          <w:rFonts w:ascii="Arial" w:hAnsi="Arial" w:cs="Arial"/>
          <w:b/>
          <w:noProof/>
          <w:szCs w:val="22"/>
        </w:rPr>
        <w:t>th – 2</w:t>
      </w:r>
      <w:r>
        <w:rPr>
          <w:rFonts w:ascii="Arial" w:hAnsi="Arial" w:cs="Arial"/>
          <w:b/>
          <w:noProof/>
          <w:szCs w:val="22"/>
        </w:rPr>
        <w:t>7</w:t>
      </w:r>
      <w:r w:rsidRPr="00C746CB">
        <w:rPr>
          <w:rFonts w:ascii="Arial" w:hAnsi="Arial" w:cs="Arial"/>
          <w:b/>
          <w:noProof/>
          <w:szCs w:val="22"/>
        </w:rPr>
        <w:t xml:space="preserve">th </w:t>
      </w:r>
      <w:r>
        <w:rPr>
          <w:rFonts w:ascii="Arial" w:hAnsi="Arial" w:cs="Arial"/>
          <w:b/>
          <w:noProof/>
          <w:szCs w:val="22"/>
        </w:rPr>
        <w:t>May</w:t>
      </w:r>
      <w:r w:rsidRPr="00C746CB">
        <w:rPr>
          <w:rFonts w:ascii="Arial" w:hAnsi="Arial" w:cs="Arial"/>
          <w:b/>
          <w:noProof/>
          <w:szCs w:val="22"/>
        </w:rPr>
        <w:t>, 2021</w:t>
      </w:r>
    </w:p>
    <w:p w14:paraId="7811E7C9" w14:textId="77777777" w:rsidR="006D3016" w:rsidRPr="0019070E" w:rsidRDefault="006D3016" w:rsidP="00250190">
      <w:pPr>
        <w:widowControl w:val="0"/>
        <w:spacing w:after="0"/>
        <w:jc w:val="left"/>
        <w:rPr>
          <w:rFonts w:ascii="Arial" w:eastAsia="Times New Roman" w:hAnsi="Arial"/>
          <w:b/>
          <w:bCs/>
          <w:sz w:val="24"/>
        </w:rPr>
      </w:pPr>
    </w:p>
    <w:p w14:paraId="61F5F757" w14:textId="03CEEA2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27C8B" w:rsidRPr="00227C8B">
        <w:rPr>
          <w:rFonts w:ascii="Arial" w:eastAsia="MS Mincho" w:hAnsi="Arial" w:cs="Arial"/>
          <w:b/>
          <w:bCs/>
          <w:sz w:val="24"/>
          <w:lang w:val="en-GB" w:eastAsia="en-US"/>
        </w:rPr>
        <w:t>8</w:t>
      </w:r>
      <w:r w:rsidR="00CF3C89" w:rsidRPr="00227C8B">
        <w:rPr>
          <w:rFonts w:ascii="Arial" w:eastAsia="MS Mincho" w:hAnsi="Arial" w:cs="Arial"/>
          <w:b/>
          <w:bCs/>
          <w:sz w:val="24"/>
          <w:lang w:val="en-GB" w:eastAsia="en-US"/>
        </w:rPr>
        <w:t>.</w:t>
      </w:r>
      <w:r w:rsidR="00227C8B" w:rsidRPr="00227C8B">
        <w:rPr>
          <w:rFonts w:ascii="Arial" w:eastAsia="MS Mincho" w:hAnsi="Arial" w:cs="Arial"/>
          <w:b/>
          <w:bCs/>
          <w:sz w:val="24"/>
          <w:lang w:val="en-GB" w:eastAsia="en-US"/>
        </w:rPr>
        <w:t>12</w:t>
      </w:r>
      <w:r w:rsidR="00CF3C89" w:rsidRPr="00227C8B">
        <w:rPr>
          <w:rFonts w:ascii="Arial" w:eastAsia="MS Mincho" w:hAnsi="Arial" w:cs="Arial"/>
          <w:b/>
          <w:bCs/>
          <w:sz w:val="24"/>
          <w:lang w:val="en-GB" w:eastAsia="en-US"/>
        </w:rPr>
        <w:t>.</w:t>
      </w:r>
      <w:r w:rsidR="00227C8B" w:rsidRPr="00227C8B">
        <w:rPr>
          <w:rFonts w:ascii="Arial" w:eastAsia="MS Mincho" w:hAnsi="Arial" w:cs="Arial"/>
          <w:b/>
          <w:bCs/>
          <w:sz w:val="24"/>
          <w:lang w:val="en-GB" w:eastAsia="en-US"/>
        </w:rPr>
        <w:t>2</w:t>
      </w:r>
      <w:r w:rsidR="00F51B2F" w:rsidRPr="00227C8B">
        <w:rPr>
          <w:rFonts w:ascii="Arial" w:eastAsia="MS Mincho" w:hAnsi="Arial" w:cs="Arial"/>
          <w:b/>
          <w:bCs/>
          <w:sz w:val="24"/>
          <w:lang w:val="en-GB" w:eastAsia="en-US"/>
        </w:rPr>
        <w:t>.</w:t>
      </w:r>
      <w:r w:rsidR="00227C8B" w:rsidRPr="00227C8B">
        <w:rPr>
          <w:rFonts w:ascii="Arial" w:eastAsia="MS Mincho" w:hAnsi="Arial" w:cs="Arial"/>
          <w:b/>
          <w:bCs/>
          <w:sz w:val="24"/>
          <w:lang w:val="en-GB" w:eastAsia="en-US"/>
        </w:rPr>
        <w:t>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870DCF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594415" w:rsidRPr="00594415">
        <w:rPr>
          <w:rFonts w:ascii="Arial" w:eastAsia="Times New Roman" w:hAnsi="Arial" w:cs="Arial"/>
          <w:b/>
          <w:bCs/>
          <w:sz w:val="24"/>
          <w:lang w:val="en-GB" w:eastAsia="en-US"/>
        </w:rPr>
        <w:t xml:space="preserve">Identification and access restriction </w:t>
      </w:r>
      <w:r w:rsidR="003115E1" w:rsidRPr="003115E1">
        <w:rPr>
          <w:rFonts w:ascii="Arial" w:eastAsia="Times New Roman" w:hAnsi="Arial" w:cs="Arial" w:hint="eastAsia"/>
          <w:b/>
          <w:bCs/>
          <w:sz w:val="24"/>
          <w:lang w:val="en-GB" w:eastAsia="en-US"/>
        </w:rPr>
        <w:t>of</w:t>
      </w:r>
      <w:r w:rsidR="003115E1">
        <w:rPr>
          <w:rFonts w:ascii="Arial" w:eastAsia="Times New Roman" w:hAnsi="Arial" w:cs="Arial"/>
          <w:b/>
          <w:bCs/>
          <w:sz w:val="24"/>
          <w:lang w:val="en-GB" w:eastAsia="en-US"/>
        </w:rPr>
        <w:t xml:space="preserve"> </w:t>
      </w:r>
      <w:r w:rsidR="00594415" w:rsidRPr="00594415">
        <w:rPr>
          <w:rFonts w:ascii="Arial" w:eastAsia="Times New Roman" w:hAnsi="Arial" w:cs="Arial"/>
          <w:b/>
          <w:bCs/>
          <w:sz w:val="24"/>
          <w:lang w:val="en-GB" w:eastAsia="en-US"/>
        </w:rPr>
        <w:t>R</w:t>
      </w:r>
      <w:r w:rsidR="0023193B">
        <w:rPr>
          <w:rFonts w:ascii="Arial" w:eastAsia="Times New Roman" w:hAnsi="Arial" w:cs="Arial"/>
          <w:b/>
          <w:bCs/>
          <w:sz w:val="24"/>
          <w:lang w:val="en-GB" w:eastAsia="en-US"/>
        </w:rPr>
        <w:t>edCap</w:t>
      </w:r>
      <w:r w:rsidR="00594415" w:rsidRPr="00594415">
        <w:rPr>
          <w:rFonts w:ascii="Arial" w:eastAsia="Times New Roman" w:hAnsi="Arial" w:cs="Arial"/>
          <w:b/>
          <w:bCs/>
          <w:sz w:val="24"/>
          <w:lang w:val="en-GB" w:eastAsia="en-US"/>
        </w:rPr>
        <w:t xml:space="preserve"> UE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D36ED">
      <w:pPr>
        <w:pStyle w:val="1"/>
        <w:numPr>
          <w:ilvl w:val="0"/>
          <w:numId w:val="7"/>
        </w:numPr>
      </w:pPr>
      <w:r w:rsidRPr="00A6509D">
        <w:t>Introduction</w:t>
      </w:r>
    </w:p>
    <w:p w14:paraId="43BC7F0B" w14:textId="59FEAFF4" w:rsidR="008E5499" w:rsidRPr="008A771B" w:rsidRDefault="00E210B5" w:rsidP="008A771B">
      <w:pPr>
        <w:spacing w:after="120" w:line="240" w:lineRule="auto"/>
        <w:rPr>
          <w:sz w:val="20"/>
          <w:lang w:val="en-GB"/>
        </w:rPr>
      </w:pPr>
      <w:r>
        <w:rPr>
          <w:sz w:val="20"/>
          <w:lang w:val="en-GB"/>
        </w:rPr>
        <w:t>There are the following objectives in the updated WID of RedCap [1]:</w:t>
      </w:r>
    </w:p>
    <w:tbl>
      <w:tblPr>
        <w:tblStyle w:val="af2"/>
        <w:tblW w:w="0" w:type="auto"/>
        <w:tblLook w:val="04A0" w:firstRow="1" w:lastRow="0" w:firstColumn="1" w:lastColumn="0" w:noHBand="0" w:noVBand="1"/>
      </w:tblPr>
      <w:tblGrid>
        <w:gridCol w:w="9628"/>
      </w:tblGrid>
      <w:tr w:rsidR="00E210B5" w14:paraId="5BFF1736" w14:textId="77777777" w:rsidTr="00E210B5">
        <w:tc>
          <w:tcPr>
            <w:tcW w:w="9628" w:type="dxa"/>
          </w:tcPr>
          <w:p w14:paraId="779D9007" w14:textId="77777777" w:rsidR="00E210B5" w:rsidRPr="00227C8B" w:rsidRDefault="00E210B5" w:rsidP="008D36ED">
            <w:pPr>
              <w:pStyle w:val="B1"/>
              <w:numPr>
                <w:ilvl w:val="0"/>
                <w:numId w:val="9"/>
              </w:numPr>
              <w:spacing w:line="240" w:lineRule="auto"/>
              <w:textAlignment w:val="auto"/>
              <w:rPr>
                <w:bCs/>
                <w:sz w:val="20"/>
                <w:lang w:eastAsia="ja-JP"/>
              </w:rPr>
            </w:pPr>
            <w:bookmarkStart w:id="2" w:name="OLE_LINK18"/>
            <w:bookmarkStart w:id="3" w:name="OLE_LINK17"/>
            <w:r w:rsidRPr="00227C8B">
              <w:rPr>
                <w:bCs/>
                <w:sz w:val="20"/>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B439D87" w14:textId="6E64BE61" w:rsidR="00E210B5" w:rsidRPr="00025990" w:rsidRDefault="00E210B5" w:rsidP="008D36ED">
            <w:pPr>
              <w:pStyle w:val="B1"/>
              <w:numPr>
                <w:ilvl w:val="0"/>
                <w:numId w:val="9"/>
              </w:numPr>
              <w:spacing w:line="240" w:lineRule="auto"/>
              <w:textAlignment w:val="auto"/>
              <w:rPr>
                <w:bCs/>
                <w:lang w:eastAsia="ja-JP"/>
              </w:rPr>
            </w:pPr>
            <w:bookmarkStart w:id="4" w:name="_Hlk67648184"/>
            <w:r w:rsidRPr="00227C8B">
              <w:rPr>
                <w:bCs/>
                <w:sz w:val="20"/>
                <w:lang w:eastAsia="ja-JP"/>
              </w:rPr>
              <w:t xml:space="preserve">Specify a system information indication to indicate whether a RedCap UE can camp on the cell/frequency or not; </w:t>
            </w:r>
            <w:bookmarkStart w:id="5" w:name="_Hlk67650013"/>
            <w:r w:rsidRPr="00227C8B">
              <w:rPr>
                <w:bCs/>
                <w:sz w:val="20"/>
                <w:lang w:eastAsia="ja-JP"/>
              </w:rPr>
              <w:t>it shall be possible for the indication to be specific to the number of Rx branches of the UE</w:t>
            </w:r>
            <w:bookmarkEnd w:id="4"/>
            <w:bookmarkEnd w:id="5"/>
            <w:r w:rsidRPr="00227C8B">
              <w:rPr>
                <w:bCs/>
                <w:sz w:val="20"/>
                <w:lang w:eastAsia="ja-JP"/>
              </w:rPr>
              <w:t xml:space="preserve">. [RAN2, RAN1] </w:t>
            </w:r>
            <w:bookmarkEnd w:id="2"/>
            <w:bookmarkEnd w:id="3"/>
          </w:p>
        </w:tc>
      </w:tr>
    </w:tbl>
    <w:p w14:paraId="2DAA4A47" w14:textId="77777777" w:rsidR="00AE2A9A" w:rsidRDefault="00AE2A9A" w:rsidP="008A771B">
      <w:pPr>
        <w:spacing w:after="120" w:line="240" w:lineRule="auto"/>
        <w:rPr>
          <w:sz w:val="20"/>
          <w:lang w:val="en-GB"/>
        </w:rPr>
      </w:pPr>
    </w:p>
    <w:p w14:paraId="05CC3273" w14:textId="20EC3C87" w:rsidR="00274D21" w:rsidRPr="008A771B" w:rsidRDefault="009606AC" w:rsidP="008A771B">
      <w:pPr>
        <w:spacing w:after="120" w:line="240" w:lineRule="auto"/>
        <w:rPr>
          <w:sz w:val="20"/>
          <w:lang w:val="en-GB"/>
        </w:rPr>
      </w:pPr>
      <w:r w:rsidRPr="008A771B">
        <w:rPr>
          <w:sz w:val="20"/>
          <w:lang w:val="en-GB"/>
        </w:rPr>
        <w:t xml:space="preserve">In this paper, we will further discuss the issues on </w:t>
      </w:r>
      <w:r w:rsidR="008A771B">
        <w:rPr>
          <w:rFonts w:hint="eastAsia"/>
          <w:sz w:val="20"/>
          <w:lang w:val="en-GB"/>
        </w:rPr>
        <w:t>i</w:t>
      </w:r>
      <w:r w:rsidRPr="008A771B">
        <w:rPr>
          <w:sz w:val="20"/>
          <w:lang w:val="en-GB"/>
        </w:rPr>
        <w:t>dentification and access restriction</w:t>
      </w:r>
      <w:r w:rsidR="008A771B">
        <w:rPr>
          <w:sz w:val="20"/>
          <w:lang w:val="en-GB"/>
        </w:rPr>
        <w:t xml:space="preserve"> for RedCap UEs</w:t>
      </w:r>
      <w:r w:rsidRPr="008A771B">
        <w:rPr>
          <w:sz w:val="20"/>
          <w:lang w:val="en-GB"/>
        </w:rPr>
        <w:t>.</w:t>
      </w:r>
    </w:p>
    <w:p w14:paraId="66DB81E2" w14:textId="77777777" w:rsidR="00AE3E14" w:rsidRDefault="00AE3E14" w:rsidP="008D36ED">
      <w:pPr>
        <w:pStyle w:val="1"/>
        <w:numPr>
          <w:ilvl w:val="0"/>
          <w:numId w:val="7"/>
        </w:numPr>
      </w:pPr>
      <w:r w:rsidRPr="00A6509D">
        <w:t>Discussion</w:t>
      </w:r>
    </w:p>
    <w:p w14:paraId="5BD63639" w14:textId="237215E9" w:rsidR="00527D0B" w:rsidRDefault="00170FC4" w:rsidP="008D36ED">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 xml:space="preserve">Initial </w:t>
      </w:r>
      <w:r w:rsidR="00DB5F1D">
        <w:rPr>
          <w:szCs w:val="24"/>
          <w:lang w:eastAsia="zh-CN"/>
        </w:rPr>
        <w:t>DL/UL BWP</w:t>
      </w:r>
      <w:r w:rsidR="00527D0B">
        <w:rPr>
          <w:szCs w:val="24"/>
          <w:lang w:eastAsia="zh-CN"/>
        </w:rPr>
        <w:t xml:space="preserve"> </w:t>
      </w:r>
    </w:p>
    <w:p w14:paraId="4D295A9E" w14:textId="76226FCD" w:rsidR="000B01FF" w:rsidRPr="008D36ED" w:rsidRDefault="000B01FF" w:rsidP="0086347D">
      <w:pPr>
        <w:rPr>
          <w:b/>
          <w:sz w:val="20"/>
          <w:lang w:val="en-GB"/>
        </w:rPr>
      </w:pPr>
      <w:r w:rsidRPr="008D36ED">
        <w:rPr>
          <w:b/>
          <w:sz w:val="20"/>
          <w:lang w:val="en-GB"/>
        </w:rPr>
        <w:t xml:space="preserve">RAN1#104bis meeting agreement </w:t>
      </w:r>
    </w:p>
    <w:tbl>
      <w:tblPr>
        <w:tblStyle w:val="af2"/>
        <w:tblW w:w="0" w:type="auto"/>
        <w:tblLook w:val="04A0" w:firstRow="1" w:lastRow="0" w:firstColumn="1" w:lastColumn="0" w:noHBand="0" w:noVBand="1"/>
      </w:tblPr>
      <w:tblGrid>
        <w:gridCol w:w="9628"/>
      </w:tblGrid>
      <w:tr w:rsidR="000B01FF" w14:paraId="6E6887C3" w14:textId="77777777" w:rsidTr="000B01FF">
        <w:tc>
          <w:tcPr>
            <w:tcW w:w="9628" w:type="dxa"/>
          </w:tcPr>
          <w:p w14:paraId="21480B10" w14:textId="77777777" w:rsidR="000B01FF" w:rsidRPr="000B01FF" w:rsidRDefault="000B01FF" w:rsidP="000B01FF">
            <w:pPr>
              <w:overflowPunct/>
              <w:autoSpaceDE/>
              <w:autoSpaceDN/>
              <w:adjustRightInd/>
              <w:spacing w:after="0" w:line="240" w:lineRule="auto"/>
              <w:jc w:val="left"/>
              <w:textAlignment w:val="auto"/>
              <w:rPr>
                <w:rFonts w:ascii="Calibri" w:eastAsia="Batang" w:hAnsi="Calibri"/>
                <w:sz w:val="20"/>
                <w:highlight w:val="darkYellow"/>
                <w:lang w:eastAsia="en-US"/>
              </w:rPr>
            </w:pPr>
            <w:r w:rsidRPr="000B01FF">
              <w:rPr>
                <w:rFonts w:ascii="Times" w:eastAsia="Batang" w:hAnsi="Times"/>
                <w:sz w:val="20"/>
                <w:highlight w:val="darkYellow"/>
                <w:lang w:val="en-GB" w:eastAsia="en-US"/>
              </w:rPr>
              <w:t>Working assumption:</w:t>
            </w:r>
          </w:p>
          <w:p w14:paraId="63DD38A8" w14:textId="77777777" w:rsidR="000B01FF" w:rsidRPr="008D36ED" w:rsidRDefault="000B01FF" w:rsidP="008D36ED">
            <w:pPr>
              <w:widowControl w:val="0"/>
              <w:numPr>
                <w:ilvl w:val="0"/>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8D36ED">
              <w:rPr>
                <w:rFonts w:ascii="Times" w:eastAsia="Times New Roman" w:hAnsi="Times"/>
                <w:sz w:val="20"/>
                <w:lang w:val="en-GB" w:eastAsia="x-none"/>
              </w:rPr>
              <w:t>During initial access, the bandwidth of the initial DL BWP for RedCap UEs is not expected to exceed the maximum RedCap UE bandwidth.</w:t>
            </w:r>
          </w:p>
          <w:p w14:paraId="38D368B0" w14:textId="77777777" w:rsidR="000B01FF" w:rsidRPr="008D36ED"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8D36ED">
              <w:rPr>
                <w:rFonts w:ascii="Times" w:eastAsia="Times New Roman" w:hAnsi="Times"/>
                <w:sz w:val="20"/>
                <w:lang w:val="en-GB" w:eastAsia="x-none"/>
              </w:rPr>
              <w:t>The bandwidth and location of the initial DL BWP for RedCap UEs can be the same as the bandwidth and location of the MIB-configured initial DL BWP for non-RedCap UEs.</w:t>
            </w:r>
          </w:p>
          <w:p w14:paraId="2163F1BE" w14:textId="77777777" w:rsidR="000B01FF" w:rsidRPr="008D36ED"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8D36ED">
              <w:rPr>
                <w:rFonts w:ascii="Times" w:eastAsia="Times New Roman" w:hAnsi="Times"/>
                <w:sz w:val="20"/>
                <w:lang w:val="en-GB" w:eastAsia="x-none"/>
              </w:rPr>
              <w:t>This does not preclude a SIB-configured initial DL BWP for non-RedCap UEs only with a wider bandwidth than the maximum RedCap UE bandwidth.</w:t>
            </w:r>
          </w:p>
          <w:p w14:paraId="123DDCA5" w14:textId="77777777" w:rsidR="000B01FF" w:rsidRPr="008D36ED" w:rsidRDefault="000B01FF" w:rsidP="008D36ED">
            <w:pPr>
              <w:widowControl w:val="0"/>
              <w:numPr>
                <w:ilvl w:val="1"/>
                <w:numId w:val="10"/>
              </w:numPr>
              <w:overflowPunct/>
              <w:autoSpaceDE/>
              <w:autoSpaceDN/>
              <w:adjustRightInd/>
              <w:spacing w:after="0" w:line="240" w:lineRule="auto"/>
              <w:jc w:val="left"/>
              <w:textAlignment w:val="auto"/>
              <w:rPr>
                <w:rFonts w:ascii="Times" w:eastAsia="Calibri" w:hAnsi="Times"/>
                <w:sz w:val="20"/>
                <w:lang w:val="sv-SE" w:eastAsia="x-none"/>
              </w:rPr>
            </w:pPr>
            <w:r w:rsidRPr="008D36ED">
              <w:rPr>
                <w:rFonts w:ascii="Times" w:eastAsia="Times New Roman" w:hAnsi="Times"/>
                <w:sz w:val="20"/>
                <w:lang w:val="en-GB" w:eastAsia="x-none"/>
              </w:rPr>
              <w:t>This does not preclude separate or additional bandwidth and location for initial DL BWP for RedCap UEs (FFS).</w:t>
            </w:r>
          </w:p>
          <w:p w14:paraId="6A465884" w14:textId="77777777" w:rsidR="000B01FF" w:rsidRPr="000B01FF" w:rsidRDefault="000B01FF" w:rsidP="000B01FF">
            <w:pPr>
              <w:overflowPunct/>
              <w:autoSpaceDE/>
              <w:autoSpaceDN/>
              <w:adjustRightInd/>
              <w:spacing w:after="0" w:line="240" w:lineRule="auto"/>
              <w:jc w:val="left"/>
              <w:textAlignment w:val="auto"/>
              <w:rPr>
                <w:rFonts w:ascii="Times" w:eastAsia="Batang" w:hAnsi="Times"/>
                <w:sz w:val="20"/>
                <w:szCs w:val="24"/>
                <w:lang w:eastAsia="en-US"/>
              </w:rPr>
            </w:pPr>
          </w:p>
          <w:p w14:paraId="27BEB119" w14:textId="77777777" w:rsidR="000B01FF" w:rsidRPr="000B01FF" w:rsidRDefault="000B01FF" w:rsidP="000B01FF">
            <w:pPr>
              <w:overflowPunct/>
              <w:autoSpaceDE/>
              <w:autoSpaceDN/>
              <w:adjustRightInd/>
              <w:spacing w:after="0" w:line="240" w:lineRule="auto"/>
              <w:jc w:val="left"/>
              <w:textAlignment w:val="auto"/>
              <w:rPr>
                <w:rFonts w:ascii="Times" w:eastAsia="Times New Roman" w:hAnsi="Times"/>
                <w:sz w:val="20"/>
                <w:lang w:eastAsia="x-none"/>
              </w:rPr>
            </w:pPr>
            <w:r w:rsidRPr="000B01FF">
              <w:rPr>
                <w:rFonts w:ascii="Times" w:eastAsia="Times New Roman" w:hAnsi="Times"/>
                <w:sz w:val="20"/>
                <w:highlight w:val="darkYellow"/>
                <w:lang w:val="en-GB" w:eastAsia="x-none"/>
              </w:rPr>
              <w:t xml:space="preserve">Working assumption: </w:t>
            </w:r>
            <w:r w:rsidRPr="008D36ED">
              <w:rPr>
                <w:rFonts w:ascii="Times" w:eastAsia="Times New Roman" w:hAnsi="Times"/>
                <w:sz w:val="20"/>
                <w:lang w:val="en-GB" w:eastAsia="x-none"/>
              </w:rPr>
              <w:t>After initial access, at least for BWP#0 configuration option 1 (as in 38.331, Appendix B2), a RedCap UE is not expected to operate with an initial DL BWP wider than the maximum RedCap UE bandwidth</w:t>
            </w:r>
            <w:r w:rsidRPr="000B01FF">
              <w:rPr>
                <w:rFonts w:ascii="Times" w:eastAsia="Times New Roman" w:hAnsi="Times"/>
                <w:sz w:val="20"/>
                <w:lang w:val="en-GB" w:eastAsia="x-none"/>
              </w:rPr>
              <w:t>.</w:t>
            </w:r>
          </w:p>
          <w:p w14:paraId="599CCA32" w14:textId="77777777" w:rsidR="000B01FF" w:rsidRPr="000B01FF"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sv-SE" w:eastAsia="x-none"/>
              </w:rPr>
            </w:pPr>
            <w:r w:rsidRPr="000B01FF">
              <w:rPr>
                <w:rFonts w:ascii="Times" w:eastAsia="Times New Roman" w:hAnsi="Times"/>
                <w:sz w:val="20"/>
                <w:lang w:val="sv-SE" w:eastAsia="x-none"/>
              </w:rPr>
              <w:t>FFS: BWP#0 configuration option 2 (as in 38.331</w:t>
            </w:r>
            <w:r w:rsidRPr="000B01FF">
              <w:rPr>
                <w:rFonts w:ascii="Times" w:eastAsia="Times New Roman" w:hAnsi="Times"/>
                <w:sz w:val="20"/>
                <w:lang w:val="en-GB" w:eastAsia="x-none"/>
              </w:rPr>
              <w:t>, Appendix B2</w:t>
            </w:r>
            <w:r w:rsidRPr="000B01FF">
              <w:rPr>
                <w:rFonts w:ascii="Times" w:eastAsia="Times New Roman" w:hAnsi="Times"/>
                <w:sz w:val="20"/>
                <w:lang w:val="sv-SE" w:eastAsia="x-none"/>
              </w:rPr>
              <w:t>)</w:t>
            </w:r>
          </w:p>
          <w:p w14:paraId="6F05D041" w14:textId="77777777" w:rsidR="000B01FF" w:rsidRPr="000B01FF" w:rsidRDefault="000B01FF" w:rsidP="000B01FF">
            <w:pPr>
              <w:overflowPunct/>
              <w:autoSpaceDE/>
              <w:autoSpaceDN/>
              <w:adjustRightInd/>
              <w:spacing w:after="0" w:line="240" w:lineRule="auto"/>
              <w:jc w:val="left"/>
              <w:textAlignment w:val="auto"/>
              <w:rPr>
                <w:rFonts w:ascii="Times" w:eastAsia="Calibri" w:hAnsi="Times"/>
                <w:sz w:val="20"/>
                <w:szCs w:val="24"/>
                <w:lang w:val="sv-SE" w:eastAsia="en-US"/>
              </w:rPr>
            </w:pPr>
          </w:p>
          <w:p w14:paraId="4D1343A0" w14:textId="77777777" w:rsidR="000B01FF" w:rsidRPr="000B01FF" w:rsidRDefault="000B01FF" w:rsidP="000B01FF">
            <w:pPr>
              <w:overflowPunct/>
              <w:autoSpaceDE/>
              <w:autoSpaceDN/>
              <w:adjustRightInd/>
              <w:spacing w:after="0" w:line="240" w:lineRule="auto"/>
              <w:jc w:val="left"/>
              <w:textAlignment w:val="auto"/>
              <w:rPr>
                <w:rFonts w:ascii="Times" w:eastAsia="Batang" w:hAnsi="Times"/>
                <w:sz w:val="20"/>
                <w:lang w:val="sv-SE" w:eastAsia="en-US"/>
              </w:rPr>
            </w:pPr>
            <w:r w:rsidRPr="000B01FF">
              <w:rPr>
                <w:rFonts w:ascii="Times" w:eastAsia="Batang" w:hAnsi="Times"/>
                <w:sz w:val="20"/>
                <w:highlight w:val="green"/>
                <w:lang w:val="sv-SE" w:eastAsia="en-US"/>
              </w:rPr>
              <w:t>Agreement</w:t>
            </w:r>
            <w:r w:rsidRPr="000B01FF">
              <w:rPr>
                <w:rFonts w:ascii="Times" w:eastAsia="Batang" w:hAnsi="Times"/>
                <w:sz w:val="20"/>
                <w:lang w:val="sv-SE" w:eastAsia="en-US"/>
              </w:rPr>
              <w:t>:</w:t>
            </w:r>
          </w:p>
          <w:p w14:paraId="77162E42" w14:textId="77777777" w:rsidR="000B01FF" w:rsidRPr="000B01FF" w:rsidRDefault="000B01FF" w:rsidP="008D36ED">
            <w:pPr>
              <w:widowControl w:val="0"/>
              <w:numPr>
                <w:ilvl w:val="0"/>
                <w:numId w:val="10"/>
              </w:numPr>
              <w:overflowPunct/>
              <w:autoSpaceDE/>
              <w:autoSpaceDN/>
              <w:adjustRightInd/>
              <w:spacing w:after="0" w:line="240" w:lineRule="auto"/>
              <w:jc w:val="left"/>
              <w:textAlignment w:val="auto"/>
              <w:rPr>
                <w:rFonts w:ascii="Times" w:eastAsia="Times New Roman" w:hAnsi="Times"/>
                <w:sz w:val="20"/>
                <w:lang w:eastAsia="x-none"/>
              </w:rPr>
            </w:pPr>
            <w:r w:rsidRPr="008D36ED">
              <w:rPr>
                <w:rFonts w:ascii="Times" w:eastAsia="Times New Roman" w:hAnsi="Times"/>
                <w:sz w:val="20"/>
                <w:lang w:val="en-GB" w:eastAsia="x-none"/>
              </w:rPr>
              <w:t>During initial access, for the scenario where the initial UL BWP for non-RedCap UEs is configured to be wider than the RedCap UE bandwidth</w:t>
            </w:r>
            <w:r w:rsidRPr="000B01FF">
              <w:rPr>
                <w:rFonts w:ascii="Times" w:eastAsia="Times New Roman" w:hAnsi="Times"/>
                <w:sz w:val="20"/>
                <w:lang w:val="en-GB" w:eastAsia="x-none"/>
              </w:rPr>
              <w:t>, down select among the following options in RAN1#105-e</w:t>
            </w:r>
          </w:p>
          <w:p w14:paraId="28F991B7" w14:textId="77777777" w:rsidR="000B01FF" w:rsidRPr="008D36ED"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8D36ED">
              <w:rPr>
                <w:rFonts w:ascii="Times" w:eastAsia="Times New Roman" w:hAnsi="Times"/>
                <w:sz w:val="20"/>
                <w:lang w:val="en-GB" w:eastAsia="x-none"/>
              </w:rPr>
              <w:t>Option 1: The scenario is allowed, and a RedCap UE can use the same UL BWP.</w:t>
            </w:r>
          </w:p>
          <w:p w14:paraId="0957D726" w14:textId="77777777" w:rsidR="000B01FF" w:rsidRPr="008D36ED"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8D36ED">
              <w:rPr>
                <w:rFonts w:ascii="Times" w:eastAsia="Times New Roman" w:hAnsi="Times"/>
                <w:sz w:val="20"/>
                <w:lang w:val="en-GB" w:eastAsia="x-none"/>
              </w:rPr>
              <w:t>Option 2: The scenario is allowed, but a separate initial UL BWP no wider than the RedCap UE maximum bandwidth is configured/defined for RedCap UEs.</w:t>
            </w:r>
          </w:p>
          <w:p w14:paraId="09E59317" w14:textId="77777777" w:rsidR="000B01FF" w:rsidRPr="008D36ED"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8D36ED">
              <w:rPr>
                <w:rFonts w:ascii="Times" w:eastAsia="Times New Roman" w:hAnsi="Times"/>
                <w:sz w:val="20"/>
                <w:lang w:val="en-GB" w:eastAsia="x-none"/>
              </w:rPr>
              <w:t>Option 3: The scenario is not allowed, and a RedCap UE is not expected to operate in an initial UL BWP wider than the RedCap UE maximum bandwidth.</w:t>
            </w:r>
          </w:p>
          <w:p w14:paraId="47489B5E" w14:textId="77777777" w:rsidR="000B01FF" w:rsidRPr="000B01FF" w:rsidRDefault="000B01FF" w:rsidP="000B01FF">
            <w:pPr>
              <w:overflowPunct/>
              <w:autoSpaceDE/>
              <w:autoSpaceDN/>
              <w:adjustRightInd/>
              <w:spacing w:after="0" w:line="240" w:lineRule="auto"/>
              <w:jc w:val="left"/>
              <w:textAlignment w:val="auto"/>
              <w:rPr>
                <w:rFonts w:ascii="Times" w:eastAsia="Calibri" w:hAnsi="Times"/>
                <w:sz w:val="20"/>
                <w:szCs w:val="24"/>
                <w:lang w:val="en-GB" w:eastAsia="en-US"/>
              </w:rPr>
            </w:pPr>
          </w:p>
          <w:p w14:paraId="477D3FF6" w14:textId="77777777" w:rsidR="000B01FF" w:rsidRPr="000B01FF" w:rsidRDefault="000B01FF" w:rsidP="000B01FF">
            <w:pPr>
              <w:overflowPunct/>
              <w:autoSpaceDE/>
              <w:autoSpaceDN/>
              <w:adjustRightInd/>
              <w:spacing w:after="0" w:line="240" w:lineRule="auto"/>
              <w:jc w:val="left"/>
              <w:textAlignment w:val="auto"/>
              <w:rPr>
                <w:rFonts w:ascii="Times" w:eastAsia="Batang" w:hAnsi="Times"/>
                <w:sz w:val="20"/>
                <w:lang w:val="sv-SE" w:eastAsia="en-US"/>
              </w:rPr>
            </w:pPr>
            <w:r w:rsidRPr="000B01FF">
              <w:rPr>
                <w:rFonts w:ascii="Times" w:eastAsia="Batang" w:hAnsi="Times"/>
                <w:sz w:val="20"/>
                <w:highlight w:val="green"/>
                <w:lang w:val="sv-SE" w:eastAsia="en-US"/>
              </w:rPr>
              <w:lastRenderedPageBreak/>
              <w:t>Agreement</w:t>
            </w:r>
            <w:r w:rsidRPr="000B01FF">
              <w:rPr>
                <w:rFonts w:ascii="Times" w:eastAsia="Batang" w:hAnsi="Times"/>
                <w:sz w:val="20"/>
                <w:lang w:val="sv-SE" w:eastAsia="en-US"/>
              </w:rPr>
              <w:t>:</w:t>
            </w:r>
          </w:p>
          <w:p w14:paraId="2B0B9FE7" w14:textId="77777777" w:rsidR="000B01FF" w:rsidRPr="000B01FF" w:rsidRDefault="000B01FF" w:rsidP="008D36ED">
            <w:pPr>
              <w:widowControl w:val="0"/>
              <w:numPr>
                <w:ilvl w:val="0"/>
                <w:numId w:val="10"/>
              </w:numPr>
              <w:overflowPunct/>
              <w:autoSpaceDE/>
              <w:autoSpaceDN/>
              <w:adjustRightInd/>
              <w:spacing w:after="0" w:line="240" w:lineRule="auto"/>
              <w:jc w:val="left"/>
              <w:textAlignment w:val="auto"/>
              <w:rPr>
                <w:rFonts w:ascii="Times" w:eastAsia="Times New Roman" w:hAnsi="Times"/>
                <w:sz w:val="20"/>
                <w:lang w:eastAsia="x-none"/>
              </w:rPr>
            </w:pPr>
            <w:r w:rsidRPr="000B01FF">
              <w:rPr>
                <w:rFonts w:ascii="Times" w:eastAsia="Times New Roman" w:hAnsi="Times"/>
                <w:sz w:val="20"/>
                <w:lang w:val="en-GB" w:eastAsia="x-none"/>
              </w:rPr>
              <w:t>After initial access, for the scenario where the initial UL BWP for non-RedCap UEs is configured to be wider than the RedCap UE bandwidth, down select among the following options in RAN1#105-e:</w:t>
            </w:r>
          </w:p>
          <w:p w14:paraId="78022B18" w14:textId="77777777" w:rsidR="000B01FF" w:rsidRPr="000B01FF"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0B01FF">
              <w:rPr>
                <w:rFonts w:ascii="Times" w:eastAsia="Times New Roman" w:hAnsi="Times"/>
                <w:sz w:val="20"/>
                <w:lang w:val="en-GB" w:eastAsia="x-none"/>
              </w:rPr>
              <w:t>Option 1: The scenario is allowed, and a RedCap UE can use the same UL BWP.</w:t>
            </w:r>
          </w:p>
          <w:p w14:paraId="063C312E" w14:textId="77777777" w:rsidR="000B01FF" w:rsidRPr="000B01FF"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0B01FF">
              <w:rPr>
                <w:rFonts w:ascii="Times" w:eastAsia="Times New Roman" w:hAnsi="Times"/>
                <w:sz w:val="20"/>
                <w:lang w:val="en-GB" w:eastAsia="x-none"/>
              </w:rPr>
              <w:t>Option 2: The scenario is allowed, but a separate initial UL BWP no wider than the RedCap UE maximum bandwidth is configured/defined for RedCap UEs.</w:t>
            </w:r>
          </w:p>
          <w:p w14:paraId="4E37761F" w14:textId="77777777" w:rsidR="000B01FF" w:rsidRPr="000B01FF" w:rsidRDefault="000B01FF" w:rsidP="008D36ED">
            <w:pPr>
              <w:widowControl w:val="0"/>
              <w:numPr>
                <w:ilvl w:val="1"/>
                <w:numId w:val="10"/>
              </w:numPr>
              <w:overflowPunct/>
              <w:autoSpaceDE/>
              <w:autoSpaceDN/>
              <w:adjustRightInd/>
              <w:spacing w:after="0" w:line="240" w:lineRule="auto"/>
              <w:jc w:val="left"/>
              <w:textAlignment w:val="auto"/>
              <w:rPr>
                <w:rFonts w:ascii="Times" w:eastAsia="Times New Roman" w:hAnsi="Times"/>
                <w:sz w:val="20"/>
                <w:lang w:val="en-GB" w:eastAsia="x-none"/>
              </w:rPr>
            </w:pPr>
            <w:r w:rsidRPr="000B01FF">
              <w:rPr>
                <w:rFonts w:ascii="Times" w:eastAsia="Times New Roman" w:hAnsi="Times"/>
                <w:sz w:val="20"/>
                <w:lang w:val="en-GB" w:eastAsia="x-none"/>
              </w:rPr>
              <w:t>Option 3: The scenario is not allowed, and a RedCap UE is not expected to operate in an initial UL BWP wider than the RedCap UE maximum bandwidth.</w:t>
            </w:r>
          </w:p>
          <w:p w14:paraId="2E4A2B36" w14:textId="77777777" w:rsidR="000B01FF" w:rsidRPr="000B01FF" w:rsidRDefault="000B01FF" w:rsidP="008D36ED">
            <w:pPr>
              <w:widowControl w:val="0"/>
              <w:overflowPunct/>
              <w:autoSpaceDE/>
              <w:autoSpaceDN/>
              <w:adjustRightInd/>
              <w:spacing w:after="0" w:line="240" w:lineRule="auto"/>
              <w:jc w:val="left"/>
              <w:textAlignment w:val="auto"/>
              <w:rPr>
                <w:sz w:val="20"/>
                <w:lang w:val="en-GB"/>
              </w:rPr>
            </w:pPr>
          </w:p>
        </w:tc>
      </w:tr>
    </w:tbl>
    <w:p w14:paraId="2227F8A5" w14:textId="77777777" w:rsidR="000B01FF" w:rsidRDefault="000B01FF" w:rsidP="0086347D">
      <w:pPr>
        <w:rPr>
          <w:sz w:val="20"/>
          <w:lang w:val="en-GB"/>
        </w:rPr>
      </w:pPr>
    </w:p>
    <w:p w14:paraId="0A172F55" w14:textId="09A3C538" w:rsidR="00205326" w:rsidRPr="0086347D" w:rsidRDefault="00561E8D" w:rsidP="0086347D">
      <w:pPr>
        <w:rPr>
          <w:sz w:val="20"/>
          <w:lang w:val="en-GB" w:eastAsia="ja-JP"/>
        </w:rPr>
      </w:pPr>
      <w:r w:rsidRPr="0086347D">
        <w:rPr>
          <w:sz w:val="20"/>
          <w:lang w:val="en-GB" w:eastAsia="ja-JP"/>
        </w:rPr>
        <w:t xml:space="preserve">According to the current NR specifications, the bandwidth of initial DL BWP can be configured to more than 20MHz in SIB1, e.g. 100MHz. The bandwidth of initial DL BWP is only applied by the UE </w:t>
      </w:r>
      <w:r w:rsidRPr="0086347D">
        <w:rPr>
          <w:rFonts w:hint="eastAsia"/>
          <w:sz w:val="20"/>
          <w:lang w:val="en-GB" w:eastAsia="ja-JP"/>
        </w:rPr>
        <w:t>after</w:t>
      </w:r>
      <w:r w:rsidRPr="0086347D">
        <w:rPr>
          <w:sz w:val="20"/>
          <w:lang w:val="en-GB" w:eastAsia="ja-JP"/>
        </w:rPr>
        <w:t xml:space="preserve"> the reception of Msg4. Moreover, there is no limitation on the bandwidth of initial UL BWP which can be configured to 100MHz. </w:t>
      </w:r>
      <w:r w:rsidR="004E09F6" w:rsidRPr="0086347D">
        <w:rPr>
          <w:sz w:val="20"/>
          <w:lang w:val="en-GB" w:eastAsia="ja-JP"/>
        </w:rPr>
        <w:t>In RAN1 #104 meeting,</w:t>
      </w:r>
      <w:r w:rsidR="009714DD" w:rsidRPr="0086347D">
        <w:rPr>
          <w:sz w:val="20"/>
          <w:lang w:val="en-GB" w:eastAsia="ja-JP"/>
        </w:rPr>
        <w:t xml:space="preserve"> it was agreed that the initial </w:t>
      </w:r>
      <w:r w:rsidR="00DB5F1D" w:rsidRPr="0086347D">
        <w:rPr>
          <w:sz w:val="20"/>
          <w:lang w:val="en-GB" w:eastAsia="ja-JP"/>
        </w:rPr>
        <w:t>DL/UL</w:t>
      </w:r>
      <w:r w:rsidR="009714DD" w:rsidRPr="0086347D">
        <w:rPr>
          <w:sz w:val="20"/>
          <w:lang w:val="en-GB" w:eastAsia="ja-JP"/>
        </w:rPr>
        <w:t xml:space="preserve"> BWP (derived based on MIB/SIB) for RedCap UEs can be the same as the initial </w:t>
      </w:r>
      <w:r w:rsidR="00DB5F1D" w:rsidRPr="0086347D">
        <w:rPr>
          <w:sz w:val="20"/>
          <w:lang w:val="en-GB" w:eastAsia="ja-JP"/>
        </w:rPr>
        <w:t>DL/UL</w:t>
      </w:r>
      <w:r w:rsidR="009714DD" w:rsidRPr="0086347D">
        <w:rPr>
          <w:sz w:val="20"/>
          <w:lang w:val="en-GB" w:eastAsia="ja-JP"/>
        </w:rPr>
        <w:t xml:space="preserve"> BWP for non-RedCap UEs at least when the initial </w:t>
      </w:r>
      <w:r w:rsidR="00DB5F1D" w:rsidRPr="0086347D">
        <w:rPr>
          <w:sz w:val="20"/>
          <w:lang w:val="en-GB" w:eastAsia="ja-JP"/>
        </w:rPr>
        <w:t>DL/UL</w:t>
      </w:r>
      <w:r w:rsidR="009714DD" w:rsidRPr="0086347D">
        <w:rPr>
          <w:sz w:val="20"/>
          <w:lang w:val="en-GB" w:eastAsia="ja-JP"/>
        </w:rPr>
        <w:t xml:space="preserve"> BWP is no wider than the RedCap UE bandwidth</w:t>
      </w:r>
      <w:r w:rsidR="0024036A" w:rsidRPr="0086347D">
        <w:rPr>
          <w:sz w:val="20"/>
          <w:lang w:val="en-GB" w:eastAsia="ja-JP"/>
        </w:rPr>
        <w:t xml:space="preserve">. In RAN1 #104bis meeting, the working assumption is that the bandwidth of the initial DL BWP </w:t>
      </w:r>
      <w:r w:rsidR="00637EF3" w:rsidRPr="0086347D">
        <w:rPr>
          <w:sz w:val="20"/>
          <w:lang w:val="en-GB" w:eastAsia="ja-JP"/>
        </w:rPr>
        <w:t xml:space="preserve">and </w:t>
      </w:r>
      <w:r w:rsidR="00C709C1">
        <w:rPr>
          <w:sz w:val="20"/>
          <w:lang w:val="en-GB" w:eastAsia="ja-JP"/>
        </w:rPr>
        <w:t>the</w:t>
      </w:r>
      <w:r w:rsidR="00637EF3" w:rsidRPr="0086347D">
        <w:rPr>
          <w:sz w:val="20"/>
          <w:lang w:val="en-GB" w:eastAsia="ja-JP"/>
        </w:rPr>
        <w:t xml:space="preserve"> non-initial (DL or UL) BWP </w:t>
      </w:r>
      <w:r w:rsidR="0024036A" w:rsidRPr="0086347D">
        <w:rPr>
          <w:sz w:val="20"/>
          <w:lang w:val="en-GB" w:eastAsia="ja-JP"/>
        </w:rPr>
        <w:t xml:space="preserve">for RedCap UEs is not expected to exceed the maximum RedCap UE bandwidth, and </w:t>
      </w:r>
      <w:r w:rsidR="00620B0A" w:rsidRPr="0086347D">
        <w:rPr>
          <w:sz w:val="20"/>
          <w:lang w:val="en-GB" w:eastAsia="ja-JP"/>
        </w:rPr>
        <w:t xml:space="preserve">it </w:t>
      </w:r>
      <w:r w:rsidR="00E5093E" w:rsidRPr="0086347D">
        <w:rPr>
          <w:sz w:val="20"/>
          <w:lang w:val="en-GB" w:eastAsia="ja-JP"/>
        </w:rPr>
        <w:t>is FFS</w:t>
      </w:r>
      <w:r w:rsidR="00620B0A" w:rsidRPr="0086347D">
        <w:rPr>
          <w:sz w:val="20"/>
          <w:lang w:val="en-GB" w:eastAsia="ja-JP"/>
        </w:rPr>
        <w:t xml:space="preserve"> on </w:t>
      </w:r>
      <w:r w:rsidR="00FF639D" w:rsidRPr="0086347D">
        <w:rPr>
          <w:sz w:val="20"/>
          <w:lang w:val="en-GB" w:eastAsia="ja-JP"/>
        </w:rPr>
        <w:t xml:space="preserve">how </w:t>
      </w:r>
      <w:r w:rsidR="00620B0A" w:rsidRPr="0086347D">
        <w:rPr>
          <w:sz w:val="20"/>
          <w:lang w:val="en-GB" w:eastAsia="ja-JP"/>
        </w:rPr>
        <w:t>a RedCap UE operate</w:t>
      </w:r>
      <w:r w:rsidR="00FF639D" w:rsidRPr="0086347D">
        <w:rPr>
          <w:sz w:val="20"/>
          <w:lang w:val="en-GB" w:eastAsia="ja-JP"/>
        </w:rPr>
        <w:t>s where the initial UL BWP for non-RedCap UEs is configured to be wider than the RedCap UE bandwidth</w:t>
      </w:r>
      <w:r w:rsidR="00620B0A" w:rsidRPr="0086347D">
        <w:rPr>
          <w:sz w:val="20"/>
          <w:lang w:val="en-GB" w:eastAsia="ja-JP"/>
        </w:rPr>
        <w:t>.</w:t>
      </w:r>
      <w:r w:rsidRPr="0086347D">
        <w:rPr>
          <w:sz w:val="20"/>
          <w:lang w:val="en-GB" w:eastAsia="ja-JP"/>
        </w:rPr>
        <w:t xml:space="preserve"> </w:t>
      </w:r>
      <w:bookmarkStart w:id="6" w:name="_GoBack"/>
      <w:bookmarkEnd w:id="6"/>
      <w:r w:rsidR="0021432F">
        <w:rPr>
          <w:sz w:val="20"/>
          <w:lang w:val="en-GB" w:eastAsia="ja-JP"/>
        </w:rPr>
        <w:t>Since the identification and configuration issues are related to this topic, RAN2 needs to wait for the further input from RAN1.</w:t>
      </w:r>
    </w:p>
    <w:p w14:paraId="7FF12FE3" w14:textId="5A0AA4D4" w:rsidR="00170FC4" w:rsidRPr="00025990" w:rsidRDefault="00AB4D67" w:rsidP="00AB4D67">
      <w:pPr>
        <w:pStyle w:val="af3"/>
        <w:spacing w:after="120" w:line="240" w:lineRule="auto"/>
        <w:rPr>
          <w:lang w:val="en-GB"/>
        </w:rPr>
      </w:pPr>
      <w:bookmarkStart w:id="7" w:name="OLE_LINK134"/>
      <w:bookmarkStart w:id="8" w:name="OLE_LINK135"/>
      <w:r>
        <w:rPr>
          <w:lang w:val="en-GB"/>
        </w:rPr>
        <w:t>Proposal 1</w:t>
      </w:r>
      <w:r w:rsidRPr="008A637F">
        <w:rPr>
          <w:lang w:val="en-GB"/>
        </w:rPr>
        <w:t>:</w:t>
      </w:r>
      <w:r>
        <w:rPr>
          <w:lang w:val="en-GB"/>
        </w:rPr>
        <w:t xml:space="preserve"> </w:t>
      </w:r>
      <w:r w:rsidR="00A86EF7">
        <w:rPr>
          <w:lang w:val="en-GB"/>
        </w:rPr>
        <w:t>RAN2 wait</w:t>
      </w:r>
      <w:r w:rsidR="00192F4A">
        <w:rPr>
          <w:lang w:val="en-GB"/>
        </w:rPr>
        <w:t>s</w:t>
      </w:r>
      <w:r w:rsidR="00A86EF7">
        <w:rPr>
          <w:lang w:val="en-GB"/>
        </w:rPr>
        <w:t xml:space="preserve"> for the RAN1 discussion on the initial BWP configuration for RedCap UE.</w:t>
      </w:r>
    </w:p>
    <w:bookmarkEnd w:id="7"/>
    <w:bookmarkEnd w:id="8"/>
    <w:p w14:paraId="4CB1F9B6" w14:textId="04254EE4" w:rsidR="00DB5F1D" w:rsidRDefault="00A86EF7" w:rsidP="008D36ED">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A86EF7">
        <w:rPr>
          <w:szCs w:val="24"/>
          <w:lang w:eastAsia="zh-CN"/>
        </w:rPr>
        <w:t>Early</w:t>
      </w:r>
      <w:r w:rsidR="00DB5F1D">
        <w:rPr>
          <w:szCs w:val="24"/>
          <w:lang w:eastAsia="zh-CN"/>
        </w:rPr>
        <w:t xml:space="preserve"> identification</w:t>
      </w:r>
    </w:p>
    <w:p w14:paraId="0E557F7F" w14:textId="77777777" w:rsidR="000B01FF" w:rsidRDefault="00025990" w:rsidP="0086347D">
      <w:pPr>
        <w:rPr>
          <w:sz w:val="20"/>
          <w:lang w:val="en-GB" w:eastAsia="ja-JP"/>
        </w:rPr>
      </w:pPr>
      <w:r w:rsidRPr="0086347D">
        <w:rPr>
          <w:rFonts w:hint="eastAsia"/>
          <w:sz w:val="20"/>
          <w:lang w:val="en-GB" w:eastAsia="ja-JP"/>
        </w:rPr>
        <w:t>A</w:t>
      </w:r>
      <w:r w:rsidRPr="0086347D">
        <w:rPr>
          <w:sz w:val="20"/>
          <w:lang w:val="en-GB" w:eastAsia="ja-JP"/>
        </w:rPr>
        <w:t xml:space="preserve">s discussed in study phase, RRC connection reject could be as one method of controlling RedCap UE access. To enable this, RedCap UE should be identified in Msg 3 at least. </w:t>
      </w:r>
    </w:p>
    <w:p w14:paraId="4CA45AF5" w14:textId="7074F899" w:rsidR="000B01FF" w:rsidRPr="008D36ED" w:rsidRDefault="000B01FF" w:rsidP="0086347D">
      <w:pPr>
        <w:rPr>
          <w:b/>
          <w:sz w:val="20"/>
          <w:lang w:val="en-GB" w:eastAsia="ja-JP"/>
        </w:rPr>
      </w:pPr>
      <w:r w:rsidRPr="008D36ED">
        <w:rPr>
          <w:b/>
          <w:sz w:val="20"/>
          <w:lang w:val="en-GB" w:eastAsia="ja-JP"/>
        </w:rPr>
        <w:t xml:space="preserve">Observation 1: Msg3 early identification is needed to support the NW rejecting RedCap UE during connection setup. </w:t>
      </w:r>
    </w:p>
    <w:p w14:paraId="6B4D40A7" w14:textId="3720043B" w:rsidR="00293A81" w:rsidRPr="0086347D" w:rsidRDefault="001E15AF" w:rsidP="0086347D">
      <w:pPr>
        <w:rPr>
          <w:sz w:val="20"/>
          <w:lang w:val="en-GB" w:eastAsia="ja-JP"/>
        </w:rPr>
      </w:pPr>
      <w:r w:rsidRPr="0086347D">
        <w:rPr>
          <w:sz w:val="20"/>
          <w:lang w:val="en-GB" w:eastAsia="ja-JP"/>
        </w:rPr>
        <w:t>W</w:t>
      </w:r>
      <w:r w:rsidR="00025990" w:rsidRPr="0086347D">
        <w:rPr>
          <w:sz w:val="20"/>
          <w:lang w:val="en-GB" w:eastAsia="ja-JP"/>
        </w:rPr>
        <w:t xml:space="preserve">hen non-RedCap UE and RedCap UE share same initial DL/UL BWP, it is enough to identify UE in Msg 3 since there is no special handling for RedCap UE during initial access. However, </w:t>
      </w:r>
      <w:r w:rsidRPr="0086347D">
        <w:rPr>
          <w:sz w:val="20"/>
          <w:lang w:val="en-GB" w:eastAsia="ja-JP"/>
        </w:rPr>
        <w:t xml:space="preserve">when non-RedCap UE and RedCap UE do not share same initial DL/UL BWP, RedCap UE needs to be identified in Msg 1 to ensure </w:t>
      </w:r>
      <w:r w:rsidR="00E23803" w:rsidRPr="0086347D">
        <w:rPr>
          <w:sz w:val="20"/>
          <w:lang w:val="en-GB" w:eastAsia="ja-JP"/>
        </w:rPr>
        <w:t>the frequency hopping of the transmission of PUSCH for Msg3 or PUCCH for Msg4 HARQ feedback is within the maximum channel bandwidth</w:t>
      </w:r>
      <w:r w:rsidRPr="0086347D">
        <w:rPr>
          <w:sz w:val="20"/>
          <w:lang w:val="en-GB" w:eastAsia="ja-JP"/>
        </w:rPr>
        <w:t xml:space="preserve">. Due to the fact that RACH configuration is included in initial UL BWP, </w:t>
      </w:r>
      <w:r w:rsidR="00177A84" w:rsidRPr="0086347D">
        <w:rPr>
          <w:sz w:val="20"/>
          <w:lang w:val="en-GB" w:eastAsia="ja-JP"/>
        </w:rPr>
        <w:t xml:space="preserve">network could achieve RACH partitioning </w:t>
      </w:r>
      <w:bookmarkStart w:id="9" w:name="OLE_LINK127"/>
      <w:bookmarkStart w:id="10" w:name="OLE_LINK128"/>
      <w:r w:rsidR="00177A84" w:rsidRPr="0086347D">
        <w:rPr>
          <w:sz w:val="20"/>
          <w:lang w:val="en-GB" w:eastAsia="ja-JP"/>
        </w:rPr>
        <w:t>for non-RedCap UE and RedCap UE</w:t>
      </w:r>
      <w:bookmarkEnd w:id="9"/>
      <w:bookmarkEnd w:id="10"/>
      <w:r w:rsidR="00177A84" w:rsidRPr="0086347D">
        <w:rPr>
          <w:sz w:val="20"/>
          <w:lang w:val="en-GB" w:eastAsia="ja-JP"/>
        </w:rPr>
        <w:t xml:space="preserve"> by reasonably configuring RACH in initial UL BWP for non-RedCap UE and RedCap UE separately.</w:t>
      </w:r>
      <w:r w:rsidRPr="0086347D">
        <w:rPr>
          <w:sz w:val="20"/>
          <w:lang w:val="en-GB" w:eastAsia="ja-JP"/>
        </w:rPr>
        <w:t xml:space="preserve"> </w:t>
      </w:r>
      <w:r w:rsidR="00F52E9E" w:rsidRPr="0086347D">
        <w:rPr>
          <w:sz w:val="20"/>
          <w:lang w:val="en-GB" w:eastAsia="ja-JP"/>
        </w:rPr>
        <w:t>W</w:t>
      </w:r>
      <w:r w:rsidR="00F52E9E" w:rsidRPr="0086347D">
        <w:rPr>
          <w:rFonts w:hint="eastAsia"/>
          <w:sz w:val="20"/>
          <w:lang w:val="en-GB" w:eastAsia="ja-JP"/>
        </w:rPr>
        <w:t>h</w:t>
      </w:r>
      <w:r w:rsidR="00F52E9E" w:rsidRPr="0086347D">
        <w:rPr>
          <w:sz w:val="20"/>
          <w:lang w:val="en-GB" w:eastAsia="ja-JP"/>
        </w:rPr>
        <w:t xml:space="preserve">ich option is used </w:t>
      </w:r>
      <w:r w:rsidR="00437B29" w:rsidRPr="0086347D">
        <w:rPr>
          <w:sz w:val="20"/>
          <w:lang w:val="en-GB" w:eastAsia="ja-JP"/>
        </w:rPr>
        <w:t xml:space="preserve">up to </w:t>
      </w:r>
      <w:r w:rsidR="00293A81" w:rsidRPr="0086347D">
        <w:rPr>
          <w:sz w:val="20"/>
          <w:lang w:val="en-GB" w:eastAsia="ja-JP"/>
        </w:rPr>
        <w:t xml:space="preserve">the </w:t>
      </w:r>
      <w:r w:rsidR="00437B29" w:rsidRPr="0086347D">
        <w:rPr>
          <w:sz w:val="20"/>
          <w:lang w:val="en-GB" w:eastAsia="ja-JP"/>
        </w:rPr>
        <w:t xml:space="preserve">configuration of </w:t>
      </w:r>
      <w:r w:rsidR="00293A81" w:rsidRPr="0086347D">
        <w:rPr>
          <w:sz w:val="20"/>
          <w:lang w:val="en-GB" w:eastAsia="ja-JP"/>
        </w:rPr>
        <w:t xml:space="preserve">network with considering </w:t>
      </w:r>
      <w:r w:rsidR="0021432F">
        <w:rPr>
          <w:sz w:val="20"/>
          <w:lang w:val="en-GB" w:eastAsia="ja-JP"/>
        </w:rPr>
        <w:t xml:space="preserve">the </w:t>
      </w:r>
      <w:r w:rsidR="00293A81" w:rsidRPr="0086347D">
        <w:rPr>
          <w:sz w:val="20"/>
          <w:lang w:val="en-GB" w:eastAsia="ja-JP"/>
        </w:rPr>
        <w:t xml:space="preserve">trade-off </w:t>
      </w:r>
      <w:r w:rsidR="0021432F">
        <w:rPr>
          <w:sz w:val="20"/>
          <w:lang w:val="en-GB" w:eastAsia="ja-JP"/>
        </w:rPr>
        <w:t>among</w:t>
      </w:r>
      <w:r w:rsidR="00293A81" w:rsidRPr="0086347D">
        <w:rPr>
          <w:sz w:val="20"/>
          <w:lang w:val="en-GB" w:eastAsia="ja-JP"/>
        </w:rPr>
        <w:t xml:space="preserve"> access latency, user capacity, system overhead, and resource utilization in uplink and downlink. </w:t>
      </w:r>
    </w:p>
    <w:p w14:paraId="25A47492" w14:textId="53B8427D" w:rsidR="00637EF3" w:rsidRPr="00437B29" w:rsidRDefault="00637EF3" w:rsidP="00637EF3">
      <w:pPr>
        <w:rPr>
          <w:b/>
          <w:bCs/>
          <w:sz w:val="20"/>
          <w:lang w:val="en-GB"/>
        </w:rPr>
      </w:pPr>
      <w:bookmarkStart w:id="11" w:name="OLE_LINK136"/>
      <w:bookmarkStart w:id="12" w:name="OLE_LINK137"/>
      <w:r w:rsidRPr="00437B29">
        <w:rPr>
          <w:b/>
          <w:bCs/>
          <w:sz w:val="20"/>
          <w:lang w:val="en-GB"/>
        </w:rPr>
        <w:t xml:space="preserve">Proposal </w:t>
      </w:r>
      <w:r w:rsidR="00437B29">
        <w:rPr>
          <w:b/>
          <w:bCs/>
          <w:sz w:val="20"/>
          <w:lang w:val="en-GB"/>
        </w:rPr>
        <w:t>2</w:t>
      </w:r>
      <w:r w:rsidRPr="00437B29">
        <w:rPr>
          <w:b/>
          <w:bCs/>
          <w:sz w:val="20"/>
          <w:lang w:val="en-GB"/>
        </w:rPr>
        <w:t xml:space="preserve">a: </w:t>
      </w:r>
      <w:r w:rsidR="00F52E9E" w:rsidRPr="00437B29">
        <w:rPr>
          <w:b/>
          <w:bCs/>
          <w:sz w:val="20"/>
          <w:lang w:val="en-GB"/>
        </w:rPr>
        <w:t>RAN2</w:t>
      </w:r>
      <w:r w:rsidRPr="00437B29">
        <w:rPr>
          <w:b/>
          <w:bCs/>
          <w:sz w:val="20"/>
          <w:lang w:val="en-GB"/>
        </w:rPr>
        <w:t xml:space="preserve"> confirms Msg1 and/or Msg3 early identification is needed.</w:t>
      </w:r>
    </w:p>
    <w:p w14:paraId="3118D00B" w14:textId="2AC4919C" w:rsidR="00637EF3" w:rsidRPr="00437B29" w:rsidRDefault="00437B29" w:rsidP="00437B29">
      <w:pPr>
        <w:rPr>
          <w:b/>
          <w:bCs/>
          <w:sz w:val="20"/>
        </w:rPr>
      </w:pPr>
      <w:r w:rsidRPr="00437B29">
        <w:rPr>
          <w:b/>
          <w:bCs/>
          <w:sz w:val="20"/>
          <w:lang w:val="en-GB"/>
        </w:rPr>
        <w:t xml:space="preserve">Proposal </w:t>
      </w:r>
      <w:r>
        <w:rPr>
          <w:b/>
          <w:bCs/>
          <w:sz w:val="20"/>
          <w:lang w:val="en-GB"/>
        </w:rPr>
        <w:t>2b</w:t>
      </w:r>
      <w:r w:rsidRPr="00437B29">
        <w:rPr>
          <w:b/>
          <w:bCs/>
          <w:sz w:val="20"/>
          <w:lang w:val="en-GB"/>
        </w:rPr>
        <w:t>:</w:t>
      </w:r>
      <w:r w:rsidR="00637EF3" w:rsidRPr="00437B29">
        <w:rPr>
          <w:b/>
          <w:bCs/>
          <w:sz w:val="20"/>
        </w:rPr>
        <w:t xml:space="preserve"> </w:t>
      </w:r>
      <w:r w:rsidRPr="00437B29">
        <w:rPr>
          <w:b/>
          <w:bCs/>
          <w:sz w:val="20"/>
          <w:lang w:val="en-GB"/>
        </w:rPr>
        <w:t>RAN2</w:t>
      </w:r>
      <w:r w:rsidR="00637EF3" w:rsidRPr="00437B29">
        <w:rPr>
          <w:b/>
          <w:bCs/>
          <w:sz w:val="20"/>
        </w:rPr>
        <w:t xml:space="preserve"> wait</w:t>
      </w:r>
      <w:r>
        <w:rPr>
          <w:b/>
          <w:bCs/>
          <w:sz w:val="20"/>
        </w:rPr>
        <w:t>s</w:t>
      </w:r>
      <w:r w:rsidR="00637EF3" w:rsidRPr="00437B29">
        <w:rPr>
          <w:b/>
          <w:bCs/>
          <w:sz w:val="20"/>
        </w:rPr>
        <w:t xml:space="preserve"> for the R</w:t>
      </w:r>
      <w:r>
        <w:rPr>
          <w:b/>
          <w:bCs/>
          <w:sz w:val="20"/>
        </w:rPr>
        <w:t>AN</w:t>
      </w:r>
      <w:r w:rsidR="00637EF3" w:rsidRPr="00437B29">
        <w:rPr>
          <w:b/>
          <w:bCs/>
          <w:sz w:val="20"/>
        </w:rPr>
        <w:t>1 decision on Msg1 early identification.</w:t>
      </w:r>
    </w:p>
    <w:p w14:paraId="0CE00539" w14:textId="2CFCD5A4" w:rsidR="00637EF3" w:rsidRPr="00FC5C16" w:rsidRDefault="00437B29" w:rsidP="00637EF3">
      <w:pPr>
        <w:rPr>
          <w:b/>
          <w:bCs/>
          <w:sz w:val="20"/>
          <w:lang w:val="en-GB"/>
        </w:rPr>
      </w:pPr>
      <w:r w:rsidRPr="00437B29">
        <w:rPr>
          <w:b/>
          <w:bCs/>
          <w:sz w:val="20"/>
          <w:lang w:val="en-GB"/>
        </w:rPr>
        <w:t xml:space="preserve">Proposal </w:t>
      </w:r>
      <w:r>
        <w:rPr>
          <w:b/>
          <w:bCs/>
          <w:sz w:val="20"/>
          <w:lang w:val="en-GB"/>
        </w:rPr>
        <w:t>2c</w:t>
      </w:r>
      <w:r w:rsidRPr="00437B29">
        <w:rPr>
          <w:b/>
          <w:bCs/>
          <w:sz w:val="20"/>
          <w:lang w:val="en-GB"/>
        </w:rPr>
        <w:t>:</w:t>
      </w:r>
      <w:r w:rsidR="00637EF3" w:rsidRPr="00437B29">
        <w:rPr>
          <w:b/>
          <w:bCs/>
          <w:sz w:val="20"/>
          <w:lang w:val="en-GB"/>
        </w:rPr>
        <w:t xml:space="preserve"> </w:t>
      </w:r>
      <w:r w:rsidR="00637EF3" w:rsidRPr="00437B29">
        <w:rPr>
          <w:b/>
          <w:bCs/>
          <w:sz w:val="20"/>
        </w:rPr>
        <w:t xml:space="preserve">Msg3 identification is supported </w:t>
      </w:r>
      <w:r w:rsidR="006A385A">
        <w:rPr>
          <w:b/>
          <w:bCs/>
          <w:sz w:val="20"/>
        </w:rPr>
        <w:t>in case</w:t>
      </w:r>
      <w:r w:rsidR="00637EF3" w:rsidRPr="00437B29">
        <w:rPr>
          <w:b/>
          <w:bCs/>
          <w:sz w:val="20"/>
        </w:rPr>
        <w:t xml:space="preserve"> Msg1 identification is optional</w:t>
      </w:r>
      <w:r w:rsidR="00192F4A">
        <w:rPr>
          <w:b/>
          <w:bCs/>
          <w:sz w:val="20"/>
        </w:rPr>
        <w:t>ly</w:t>
      </w:r>
      <w:r w:rsidR="00637EF3" w:rsidRPr="00437B29">
        <w:rPr>
          <w:b/>
          <w:bCs/>
          <w:sz w:val="20"/>
        </w:rPr>
        <w:t xml:space="preserve"> configured, if agreed by </w:t>
      </w:r>
      <w:r w:rsidRPr="00437B29">
        <w:rPr>
          <w:b/>
          <w:bCs/>
          <w:sz w:val="20"/>
        </w:rPr>
        <w:t>R</w:t>
      </w:r>
      <w:r>
        <w:rPr>
          <w:b/>
          <w:bCs/>
          <w:sz w:val="20"/>
        </w:rPr>
        <w:t>AN</w:t>
      </w:r>
      <w:r w:rsidRPr="00437B29">
        <w:rPr>
          <w:b/>
          <w:bCs/>
          <w:sz w:val="20"/>
        </w:rPr>
        <w:t>1</w:t>
      </w:r>
      <w:r w:rsidR="00637EF3" w:rsidRPr="00437B29">
        <w:rPr>
          <w:b/>
          <w:bCs/>
          <w:sz w:val="20"/>
        </w:rPr>
        <w:t>.</w:t>
      </w:r>
    </w:p>
    <w:bookmarkEnd w:id="11"/>
    <w:bookmarkEnd w:id="12"/>
    <w:p w14:paraId="17B61A35" w14:textId="51F06FA3" w:rsidR="00372294" w:rsidRPr="009606AC" w:rsidRDefault="00E37407" w:rsidP="008D36ED">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Access restriction</w:t>
      </w:r>
    </w:p>
    <w:p w14:paraId="25091F3C" w14:textId="77777777" w:rsidR="004A6719" w:rsidRDefault="004A6719" w:rsidP="0086347D">
      <w:pPr>
        <w:rPr>
          <w:sz w:val="20"/>
          <w:lang w:val="en-GB" w:eastAsia="ja-JP"/>
        </w:rPr>
      </w:pPr>
      <w:bookmarkStart w:id="13" w:name="OLE_LINK130"/>
      <w:bookmarkStart w:id="14" w:name="OLE_LINK131"/>
      <w:r>
        <w:rPr>
          <w:sz w:val="20"/>
          <w:lang w:val="en-GB" w:eastAsia="ja-JP"/>
        </w:rPr>
        <w:t xml:space="preserve">For the cell barring, it is captured in the TR “for RedCap UEs, an explicit or implicit indication in broadcast system information can be used to indicate whether a RedCap UE can camp on the cell or not.” According to the updated WID, it shall be possible to enable camping separately for 1Rx/2Rx RedCap UEs. So, two 1-bit indicators in system information </w:t>
      </w:r>
      <w:bookmarkStart w:id="15" w:name="OLE_LINK81"/>
      <w:bookmarkStart w:id="16" w:name="OLE_LINK80"/>
      <w:r>
        <w:rPr>
          <w:sz w:val="20"/>
          <w:lang w:val="en-GB" w:eastAsia="ja-JP"/>
        </w:rPr>
        <w:t>(i.e. either SIB1 message or DCI associated with SIB1)</w:t>
      </w:r>
      <w:bookmarkEnd w:id="15"/>
      <w:bookmarkEnd w:id="16"/>
      <w:r>
        <w:rPr>
          <w:sz w:val="20"/>
          <w:lang w:val="en-GB" w:eastAsia="ja-JP"/>
        </w:rPr>
        <w:t xml:space="preserve"> specific for 1RX and 2RX RedCap UEs are used to indicate whether a RedCap UE is allow to camp on the cell.</w:t>
      </w:r>
    </w:p>
    <w:p w14:paraId="6A0013F7" w14:textId="435E8B8C" w:rsidR="004A6719" w:rsidRDefault="003A644D" w:rsidP="003A644D">
      <w:pPr>
        <w:pStyle w:val="af3"/>
        <w:spacing w:after="120" w:line="240" w:lineRule="auto"/>
        <w:textAlignment w:val="auto"/>
      </w:pPr>
      <w:bookmarkStart w:id="17" w:name="OLE_LINK138"/>
      <w:r w:rsidRPr="003A644D">
        <w:lastRenderedPageBreak/>
        <w:t xml:space="preserve">Proposal 3: </w:t>
      </w:r>
      <w:r w:rsidR="004A6719" w:rsidRPr="003A644D">
        <w:t xml:space="preserve">Two </w:t>
      </w:r>
      <w:r w:rsidR="004A6719" w:rsidRPr="007F1371">
        <w:t xml:space="preserve">indicators in </w:t>
      </w:r>
      <w:r w:rsidR="00437B29">
        <w:t>SIB1</w:t>
      </w:r>
      <w:r w:rsidR="004A6719" w:rsidRPr="007F1371">
        <w:t xml:space="preserve"> </w:t>
      </w:r>
      <w:r w:rsidR="004A6719" w:rsidRPr="007F1371">
        <w:rPr>
          <w:lang w:val="en-GB" w:eastAsia="ja-JP"/>
        </w:rPr>
        <w:t>(i.e. either SIB1 message or DCI associated with SIB1)</w:t>
      </w:r>
      <w:r w:rsidR="004A6719" w:rsidRPr="007F1371">
        <w:rPr>
          <w:lang w:val="en-GB"/>
        </w:rPr>
        <w:t xml:space="preserve"> </w:t>
      </w:r>
      <w:r w:rsidR="004A6719" w:rsidRPr="007F1371">
        <w:t>specific for 1RX and 2RX RedCap UEs are used to i</w:t>
      </w:r>
      <w:r w:rsidR="004A6719">
        <w:t>ndicate whether a RedCap UE is allow</w:t>
      </w:r>
      <w:r w:rsidR="00192F4A">
        <w:t>ed</w:t>
      </w:r>
      <w:r w:rsidR="004A6719">
        <w:t xml:space="preserve"> to camp on the cell.</w:t>
      </w:r>
    </w:p>
    <w:bookmarkEnd w:id="13"/>
    <w:bookmarkEnd w:id="14"/>
    <w:bookmarkEnd w:id="17"/>
    <w:p w14:paraId="200ADC66" w14:textId="3424D3DC" w:rsidR="004A6719" w:rsidRDefault="004A6719" w:rsidP="004A6719">
      <w:pPr>
        <w:rPr>
          <w:sz w:val="20"/>
          <w:lang w:val="en-GB"/>
        </w:rPr>
      </w:pPr>
      <w:r>
        <w:rPr>
          <w:sz w:val="20"/>
          <w:lang w:val="en-GB" w:eastAsia="ja-JP"/>
        </w:rPr>
        <w:t xml:space="preserve">Due to the fact that there is already a cell barring indicator in MIB, there are two choices for RedCap UEs: 1) check the </w:t>
      </w:r>
      <w:bookmarkStart w:id="18" w:name="OLE_LINK88"/>
      <w:bookmarkStart w:id="19" w:name="OLE_LINK87"/>
      <w:r>
        <w:rPr>
          <w:i/>
          <w:sz w:val="20"/>
        </w:rPr>
        <w:t>cellBarred</w:t>
      </w:r>
      <w:r>
        <w:rPr>
          <w:sz w:val="20"/>
          <w:lang w:val="en-GB" w:eastAsia="ja-JP"/>
        </w:rPr>
        <w:t xml:space="preserve"> </w:t>
      </w:r>
      <w:bookmarkEnd w:id="18"/>
      <w:bookmarkEnd w:id="19"/>
      <w:r>
        <w:rPr>
          <w:sz w:val="20"/>
          <w:lang w:val="en-GB" w:eastAsia="ja-JP"/>
        </w:rPr>
        <w:t xml:space="preserve">indicator in MIB first and then check the RedCap UE specific indicator; 2) ignore the </w:t>
      </w:r>
      <w:r>
        <w:rPr>
          <w:i/>
          <w:sz w:val="20"/>
        </w:rPr>
        <w:t>cellBarred</w:t>
      </w:r>
      <w:r>
        <w:rPr>
          <w:sz w:val="20"/>
          <w:lang w:val="en-GB" w:eastAsia="ja-JP"/>
        </w:rPr>
        <w:t xml:space="preserve"> indicator in MIB and only check the RedCap UE specific indicator. Choice 2 is more flexible than Choice 1 because Choice 1 cannot allow RedCap UEs to camp </w:t>
      </w:r>
      <w:r w:rsidR="00192F4A">
        <w:rPr>
          <w:sz w:val="20"/>
          <w:lang w:val="en-GB" w:eastAsia="ja-JP"/>
        </w:rPr>
        <w:t xml:space="preserve">while </w:t>
      </w:r>
      <w:r>
        <w:rPr>
          <w:sz w:val="20"/>
          <w:lang w:val="en-GB" w:eastAsia="ja-JP"/>
        </w:rPr>
        <w:t>not allow</w:t>
      </w:r>
      <w:r w:rsidR="00192F4A">
        <w:rPr>
          <w:sz w:val="20"/>
          <w:lang w:val="en-GB" w:eastAsia="ja-JP"/>
        </w:rPr>
        <w:t xml:space="preserve">ing </w:t>
      </w:r>
      <w:r>
        <w:rPr>
          <w:sz w:val="20"/>
          <w:lang w:val="en-GB" w:eastAsia="ja-JP"/>
        </w:rPr>
        <w:t xml:space="preserve">non-RedCap UEs. Hence, it is proposed that RedCap UEs ignore the legacy </w:t>
      </w:r>
      <w:r>
        <w:rPr>
          <w:i/>
          <w:sz w:val="20"/>
          <w:lang w:val="en-GB" w:eastAsia="ja-JP"/>
        </w:rPr>
        <w:t>cellBarred</w:t>
      </w:r>
      <w:r>
        <w:rPr>
          <w:sz w:val="20"/>
          <w:lang w:val="en-GB" w:eastAsia="ja-JP"/>
        </w:rPr>
        <w:t xml:space="preserve"> in MIB.</w:t>
      </w:r>
    </w:p>
    <w:p w14:paraId="5BB5FD95" w14:textId="1735D750" w:rsidR="004A6719" w:rsidRDefault="003A644D" w:rsidP="003A644D">
      <w:pPr>
        <w:pStyle w:val="af3"/>
        <w:spacing w:after="120" w:line="240" w:lineRule="auto"/>
        <w:textAlignment w:val="auto"/>
        <w:rPr>
          <w:b w:val="0"/>
        </w:rPr>
      </w:pPr>
      <w:r w:rsidRPr="003A644D">
        <w:t xml:space="preserve">Proposal 4: </w:t>
      </w:r>
      <w:r w:rsidR="004A6719" w:rsidRPr="003A644D">
        <w:t xml:space="preserve">RedCap </w:t>
      </w:r>
      <w:r w:rsidR="004A6719">
        <w:t xml:space="preserve">UEs ignore the legacy </w:t>
      </w:r>
      <w:r w:rsidR="004A6719">
        <w:rPr>
          <w:i/>
        </w:rPr>
        <w:t>cellBarred</w:t>
      </w:r>
      <w:r w:rsidR="004A6719">
        <w:t xml:space="preserve"> in MIB.</w:t>
      </w:r>
    </w:p>
    <w:p w14:paraId="6FCE36BC" w14:textId="2CA3F792" w:rsidR="004A6719" w:rsidRDefault="004A6719" w:rsidP="004A6719">
      <w:pPr>
        <w:rPr>
          <w:sz w:val="20"/>
          <w:lang w:val="en-GB"/>
        </w:rPr>
      </w:pPr>
      <w:r>
        <w:rPr>
          <w:sz w:val="20"/>
          <w:lang w:val="en-GB"/>
        </w:rPr>
        <w:t xml:space="preserve">If independent </w:t>
      </w:r>
      <w:r>
        <w:rPr>
          <w:i/>
          <w:sz w:val="20"/>
        </w:rPr>
        <w:t>cellBarred</w:t>
      </w:r>
      <w:r>
        <w:rPr>
          <w:sz w:val="20"/>
          <w:lang w:val="en-GB"/>
        </w:rPr>
        <w:t xml:space="preserve"> indicators for 1Rx/2Rx RedCap </w:t>
      </w:r>
      <w:r w:rsidR="0086347D">
        <w:rPr>
          <w:sz w:val="20"/>
          <w:lang w:val="en-GB"/>
        </w:rPr>
        <w:t>UE is agreed, it is natural to consider</w:t>
      </w:r>
      <w:r>
        <w:rPr>
          <w:sz w:val="20"/>
          <w:lang w:val="en-GB"/>
        </w:rPr>
        <w:t xml:space="preserve"> intra-frequency reselection in</w:t>
      </w:r>
      <w:r w:rsidR="0086347D">
        <w:rPr>
          <w:sz w:val="20"/>
          <w:lang w:val="en-GB"/>
        </w:rPr>
        <w:t>dicator for 1Rx/2Rx RedCap UEs</w:t>
      </w:r>
      <w:r>
        <w:rPr>
          <w:sz w:val="20"/>
          <w:lang w:val="en-GB"/>
        </w:rPr>
        <w:t xml:space="preserve">. </w:t>
      </w:r>
      <w:r w:rsidR="0086347D">
        <w:rPr>
          <w:sz w:val="20"/>
          <w:lang w:val="en-GB"/>
        </w:rPr>
        <w:t xml:space="preserve">Since there is an </w:t>
      </w:r>
      <w:r w:rsidR="0086347D" w:rsidRPr="0086347D">
        <w:rPr>
          <w:i/>
          <w:sz w:val="20"/>
          <w:lang w:val="en-GB"/>
        </w:rPr>
        <w:t>intraFreqReselection</w:t>
      </w:r>
      <w:r w:rsidR="0086347D">
        <w:rPr>
          <w:i/>
          <w:sz w:val="20"/>
          <w:lang w:val="en-GB"/>
        </w:rPr>
        <w:t xml:space="preserve"> </w:t>
      </w:r>
      <w:r w:rsidR="0086347D">
        <w:rPr>
          <w:sz w:val="20"/>
          <w:lang w:val="en-GB"/>
        </w:rPr>
        <w:t xml:space="preserve">in MIB, </w:t>
      </w:r>
      <w:r>
        <w:rPr>
          <w:sz w:val="20"/>
          <w:lang w:val="en-GB"/>
        </w:rPr>
        <w:t>it may not be necessary to have separated intra-frequency reselection indication(s) for RedCap UEs. So, we propose to</w:t>
      </w:r>
      <w:r w:rsidR="0086347D">
        <w:rPr>
          <w:sz w:val="20"/>
          <w:lang w:val="en-GB"/>
        </w:rPr>
        <w:t xml:space="preserve"> reuse</w:t>
      </w:r>
      <w:r>
        <w:rPr>
          <w:sz w:val="20"/>
          <w:lang w:val="en-GB"/>
        </w:rPr>
        <w:t xml:space="preserve"> the </w:t>
      </w:r>
      <w:r w:rsidR="0086347D">
        <w:rPr>
          <w:sz w:val="20"/>
          <w:lang w:val="en-GB"/>
        </w:rPr>
        <w:t xml:space="preserve">legacy </w:t>
      </w:r>
      <w:r>
        <w:rPr>
          <w:sz w:val="20"/>
          <w:lang w:val="en-GB"/>
        </w:rPr>
        <w:t>intra-frequency reselection indicator for RedCap UEs.</w:t>
      </w:r>
    </w:p>
    <w:p w14:paraId="5516C2EE" w14:textId="0BF022B0" w:rsidR="004A6719" w:rsidRPr="003A644D" w:rsidRDefault="003A644D" w:rsidP="003A644D">
      <w:pPr>
        <w:rPr>
          <w:b/>
          <w:bCs/>
          <w:sz w:val="20"/>
        </w:rPr>
      </w:pPr>
      <w:bookmarkStart w:id="20" w:name="OLE_LINK139"/>
      <w:bookmarkStart w:id="21" w:name="OLE_LINK140"/>
      <w:r w:rsidRPr="00437B29">
        <w:rPr>
          <w:b/>
          <w:bCs/>
          <w:sz w:val="20"/>
          <w:lang w:val="en-GB"/>
        </w:rPr>
        <w:t xml:space="preserve">Proposal </w:t>
      </w:r>
      <w:r>
        <w:rPr>
          <w:b/>
          <w:bCs/>
          <w:sz w:val="20"/>
          <w:lang w:val="en-GB"/>
        </w:rPr>
        <w:t>5</w:t>
      </w:r>
      <w:r w:rsidRPr="00437B29">
        <w:rPr>
          <w:b/>
          <w:bCs/>
          <w:sz w:val="20"/>
          <w:lang w:val="en-GB"/>
        </w:rPr>
        <w:t xml:space="preserve">: </w:t>
      </w:r>
      <w:r w:rsidRPr="003A644D">
        <w:rPr>
          <w:b/>
          <w:bCs/>
          <w:sz w:val="20"/>
        </w:rPr>
        <w:t>The Intra-frequency reselection indicator should be supported by RedCap UEs. (based on the WID).</w:t>
      </w:r>
    </w:p>
    <w:p w14:paraId="724D93E1" w14:textId="50540E3B" w:rsidR="003A644D" w:rsidRDefault="003A644D" w:rsidP="008D36ED">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UAC</w:t>
      </w:r>
    </w:p>
    <w:p w14:paraId="21F7AF82" w14:textId="03C0A0C4" w:rsidR="0086347D" w:rsidRPr="0021432F" w:rsidRDefault="0086347D" w:rsidP="0086347D">
      <w:pPr>
        <w:rPr>
          <w:sz w:val="20"/>
          <w:lang w:val="en-GB" w:eastAsia="ja-JP"/>
        </w:rPr>
      </w:pPr>
      <w:r w:rsidRPr="0021432F">
        <w:rPr>
          <w:sz w:val="20"/>
          <w:lang w:val="en-GB" w:eastAsia="ja-JP"/>
        </w:rPr>
        <w:t xml:space="preserve">As specified in TS 24.501 [1] and TS 22.261 [2], </w:t>
      </w:r>
      <w:r w:rsidR="002160C9" w:rsidRPr="0021432F">
        <w:rPr>
          <w:sz w:val="20"/>
          <w:lang w:val="en-GB" w:eastAsia="ja-JP"/>
        </w:rPr>
        <w:t xml:space="preserve">in UAC, </w:t>
      </w:r>
      <w:r w:rsidRPr="0021432F">
        <w:rPr>
          <w:sz w:val="20"/>
          <w:lang w:val="en-GB" w:eastAsia="ja-JP"/>
        </w:rPr>
        <w:t>the access categories represent the types of the access attempt, e.g. MO signaling, MO data, paging response, etc. This means that the access category cannot be used to identify RedCap services unless equivalent access categories are defined for RedCap UEs. On the other hand, no strong need is seen to define new UAC access categories for the RedCap UEs, as the traffic types of RedCap UEs will not be significantly different from the existing Access Categories.</w:t>
      </w:r>
    </w:p>
    <w:p w14:paraId="3614C6A6" w14:textId="77777777" w:rsidR="0086347D" w:rsidRPr="0021432F" w:rsidRDefault="0086347D" w:rsidP="0086347D">
      <w:pPr>
        <w:rPr>
          <w:sz w:val="20"/>
          <w:lang w:val="en-GB" w:eastAsia="ja-JP"/>
        </w:rPr>
      </w:pPr>
      <w:r w:rsidRPr="0021432F">
        <w:rPr>
          <w:sz w:val="20"/>
          <w:lang w:val="en-GB" w:eastAsia="ja-JP"/>
        </w:rPr>
        <w:t>Other than access categories, the operators can also control access based on the Access Identities [2]. In TS 38.331, there is an access identity bitmap for each access category. If the bit corresponding to one access identity is set to “1”, the UE of this access identity uses the UAC parameters for this access category, otherwise the access attempt is allowed. So, with a new access identity for RedCap UEs, RedCap UEs will either use the same UAC parameters as non-RedCap UEs or be “allowed” for this access category. This does not provide flexible and separate control of RedCap UEs.</w:t>
      </w:r>
    </w:p>
    <w:p w14:paraId="43B2D79B" w14:textId="56159F87" w:rsidR="003A644D" w:rsidRPr="0021432F" w:rsidRDefault="0086347D" w:rsidP="0086347D">
      <w:pPr>
        <w:rPr>
          <w:sz w:val="20"/>
          <w:lang w:val="en-GB" w:eastAsia="ja-JP"/>
        </w:rPr>
      </w:pPr>
      <w:r w:rsidRPr="0021432F">
        <w:rPr>
          <w:sz w:val="20"/>
          <w:lang w:val="en-GB" w:eastAsia="ja-JP"/>
        </w:rPr>
        <w:t>Based on the above discussion, we think it is better to broadcast a separate set of UAC parameters for RedCap UEs. Note that this is similar to NB-IoT and eMTC, where the same access identities and access categories as NR are used.</w:t>
      </w:r>
    </w:p>
    <w:p w14:paraId="297D2755" w14:textId="6C7F2FDB" w:rsidR="002160C9" w:rsidRPr="0021432F" w:rsidRDefault="002160C9" w:rsidP="0086347D">
      <w:pPr>
        <w:rPr>
          <w:sz w:val="20"/>
          <w:lang w:val="en-GB" w:eastAsia="ja-JP"/>
        </w:rPr>
      </w:pPr>
      <w:r w:rsidRPr="0021432F">
        <w:rPr>
          <w:sz w:val="20"/>
          <w:lang w:val="en-GB" w:eastAsia="ja-JP"/>
        </w:rPr>
        <w:t xml:space="preserve">Since </w:t>
      </w:r>
      <w:r w:rsidR="00B34DB5" w:rsidRPr="0021432F">
        <w:rPr>
          <w:sz w:val="20"/>
          <w:lang w:val="en-GB" w:eastAsia="ja-JP"/>
        </w:rPr>
        <w:t xml:space="preserve">in RAN2 </w:t>
      </w:r>
      <w:r w:rsidRPr="0021432F">
        <w:rPr>
          <w:sz w:val="20"/>
          <w:lang w:val="en-GB" w:eastAsia="ja-JP"/>
        </w:rPr>
        <w:t xml:space="preserve">there is no consensus in the possibility of defining a new Access Identity or define new Access Categories for RedCap UEs, and/or between RedCap UEs with 1RX and 2RX, </w:t>
      </w:r>
      <w:r w:rsidR="00B34DB5" w:rsidRPr="0021432F">
        <w:rPr>
          <w:sz w:val="20"/>
          <w:lang w:val="en-GB" w:eastAsia="ja-JP"/>
        </w:rPr>
        <w:t>an LS has been sent to SA1 and CT1. RAN2 can further discuss whether to extend the AI/AC after receiving the feedback from SA/CT LS.</w:t>
      </w:r>
    </w:p>
    <w:p w14:paraId="1F3871EF" w14:textId="52720303" w:rsidR="003A644D" w:rsidRPr="00B34DB5" w:rsidRDefault="003A644D" w:rsidP="00B34DB5">
      <w:pPr>
        <w:rPr>
          <w:b/>
          <w:bCs/>
          <w:sz w:val="20"/>
        </w:rPr>
      </w:pPr>
      <w:r w:rsidRPr="00437B29">
        <w:rPr>
          <w:b/>
          <w:bCs/>
          <w:sz w:val="20"/>
          <w:lang w:val="en-GB"/>
        </w:rPr>
        <w:t xml:space="preserve">Proposal </w:t>
      </w:r>
      <w:r w:rsidR="00B34DB5">
        <w:rPr>
          <w:b/>
          <w:bCs/>
          <w:sz w:val="20"/>
          <w:lang w:val="en-GB"/>
        </w:rPr>
        <w:t>6</w:t>
      </w:r>
      <w:r w:rsidRPr="00437B29">
        <w:rPr>
          <w:b/>
          <w:bCs/>
          <w:sz w:val="20"/>
          <w:lang w:val="en-GB"/>
        </w:rPr>
        <w:t xml:space="preserve">: </w:t>
      </w:r>
      <w:r w:rsidRPr="003A644D">
        <w:rPr>
          <w:b/>
          <w:sz w:val="20"/>
        </w:rPr>
        <w:t>RAN2 discuss</w:t>
      </w:r>
      <w:r w:rsidR="00FC5C16">
        <w:rPr>
          <w:b/>
          <w:sz w:val="20"/>
        </w:rPr>
        <w:t>es</w:t>
      </w:r>
      <w:r w:rsidRPr="003A644D">
        <w:rPr>
          <w:b/>
          <w:sz w:val="20"/>
        </w:rPr>
        <w:t xml:space="preserve"> whether to extend the AI/AC</w:t>
      </w:r>
      <w:r w:rsidR="000B01FF">
        <w:rPr>
          <w:b/>
          <w:sz w:val="20"/>
        </w:rPr>
        <w:t>,</w:t>
      </w:r>
      <w:r w:rsidRPr="003A644D">
        <w:rPr>
          <w:b/>
          <w:sz w:val="20"/>
        </w:rPr>
        <w:t xml:space="preserve"> after the feedback from SA/CT LS.</w:t>
      </w:r>
      <w:r w:rsidRPr="003A644D">
        <w:rPr>
          <w:b/>
          <w:bCs/>
          <w:sz w:val="20"/>
        </w:rPr>
        <w:t xml:space="preserve"> </w:t>
      </w:r>
    </w:p>
    <w:bookmarkEnd w:id="20"/>
    <w:bookmarkEnd w:id="21"/>
    <w:p w14:paraId="6A455B2F" w14:textId="71391538" w:rsidR="00C20C06" w:rsidRPr="00250190" w:rsidRDefault="008E37AC" w:rsidP="008D36ED">
      <w:pPr>
        <w:pStyle w:val="1"/>
        <w:numPr>
          <w:ilvl w:val="0"/>
          <w:numId w:val="7"/>
        </w:numPr>
      </w:pPr>
      <w:r w:rsidRPr="00250190">
        <w:t>Conclusion</w:t>
      </w:r>
    </w:p>
    <w:p w14:paraId="01C812F0" w14:textId="10843839" w:rsidR="002F1B15" w:rsidRPr="008A771B" w:rsidRDefault="0089460F" w:rsidP="008A771B">
      <w:pPr>
        <w:spacing w:after="120" w:line="240" w:lineRule="auto"/>
        <w:rPr>
          <w:sz w:val="20"/>
          <w:lang w:val="en-GB" w:eastAsia="ja-JP"/>
        </w:rPr>
      </w:pPr>
      <w:r w:rsidRPr="008A771B">
        <w:rPr>
          <w:sz w:val="20"/>
          <w:lang w:val="en-GB" w:eastAsia="ja-JP"/>
        </w:rPr>
        <w:t>The contribution focuses on UE identification and access restriction for RedCap UEs. Corresponding observations and proposals are listed as below</w:t>
      </w:r>
      <w:r w:rsidR="002F4066" w:rsidRPr="008A771B">
        <w:rPr>
          <w:sz w:val="20"/>
          <w:lang w:val="en-GB" w:eastAsia="ja-JP"/>
        </w:rPr>
        <w:t xml:space="preserve">: </w:t>
      </w:r>
    </w:p>
    <w:p w14:paraId="74ECE00D" w14:textId="77777777" w:rsidR="00ED6E94" w:rsidRPr="008A637F" w:rsidRDefault="00ED6E94" w:rsidP="00ED6E94">
      <w:pPr>
        <w:rPr>
          <w:b/>
          <w:bCs/>
          <w:sz w:val="20"/>
          <w:lang w:val="en-GB"/>
        </w:rPr>
      </w:pPr>
      <w:r w:rsidRPr="008A637F">
        <w:rPr>
          <w:b/>
          <w:bCs/>
          <w:sz w:val="20"/>
          <w:lang w:val="en-GB"/>
        </w:rPr>
        <w:t xml:space="preserve">Observation 1: Msg3 early identification is needed to support the NW rejecting RedCap UE during connection setup. </w:t>
      </w:r>
    </w:p>
    <w:p w14:paraId="10014C88" w14:textId="77777777" w:rsidR="00F433DC" w:rsidRPr="00025990" w:rsidRDefault="00F433DC" w:rsidP="00F433DC">
      <w:pPr>
        <w:pStyle w:val="af3"/>
        <w:spacing w:after="120" w:line="240" w:lineRule="auto"/>
        <w:rPr>
          <w:lang w:val="en-GB"/>
        </w:rPr>
      </w:pPr>
      <w:r>
        <w:rPr>
          <w:lang w:val="en-GB"/>
        </w:rPr>
        <w:t>Proposal 1</w:t>
      </w:r>
      <w:r w:rsidRPr="008A637F">
        <w:rPr>
          <w:lang w:val="en-GB"/>
        </w:rPr>
        <w:t>:</w:t>
      </w:r>
      <w:r>
        <w:rPr>
          <w:lang w:val="en-GB"/>
        </w:rPr>
        <w:t xml:space="preserve"> RAN2 waits for the RAN1 discussion on the initial BWP configuration for RedCap UE.</w:t>
      </w:r>
    </w:p>
    <w:p w14:paraId="7DD3BA07" w14:textId="77777777" w:rsidR="008A637F" w:rsidRPr="008A637F" w:rsidRDefault="008A637F" w:rsidP="008A637F">
      <w:pPr>
        <w:rPr>
          <w:b/>
          <w:bCs/>
          <w:sz w:val="20"/>
          <w:lang w:val="en-GB"/>
        </w:rPr>
      </w:pPr>
      <w:r w:rsidRPr="008A637F">
        <w:rPr>
          <w:b/>
          <w:bCs/>
          <w:sz w:val="20"/>
          <w:lang w:val="en-GB"/>
        </w:rPr>
        <w:t>Proposal 2a: RAN2 confirms Msg1 and/or Msg3 early identification is needed.</w:t>
      </w:r>
    </w:p>
    <w:p w14:paraId="3E94966E" w14:textId="77777777" w:rsidR="008A637F" w:rsidRPr="008A637F" w:rsidRDefault="008A637F" w:rsidP="008A637F">
      <w:pPr>
        <w:rPr>
          <w:b/>
          <w:bCs/>
          <w:sz w:val="20"/>
          <w:lang w:val="en-GB"/>
        </w:rPr>
      </w:pPr>
      <w:r w:rsidRPr="008A637F">
        <w:rPr>
          <w:b/>
          <w:bCs/>
          <w:sz w:val="20"/>
          <w:lang w:val="en-GB"/>
        </w:rPr>
        <w:t>Proposal 2b: RAN2 waits for the RAN1 decision on Msg1 early identification.</w:t>
      </w:r>
    </w:p>
    <w:p w14:paraId="655BC569" w14:textId="77777777" w:rsidR="008A637F" w:rsidRPr="008A637F" w:rsidRDefault="008A637F" w:rsidP="008A637F">
      <w:pPr>
        <w:rPr>
          <w:b/>
          <w:bCs/>
          <w:sz w:val="20"/>
          <w:lang w:val="en-GB"/>
        </w:rPr>
      </w:pPr>
      <w:r w:rsidRPr="008A637F">
        <w:rPr>
          <w:b/>
          <w:bCs/>
          <w:sz w:val="20"/>
          <w:lang w:val="en-GB"/>
        </w:rPr>
        <w:lastRenderedPageBreak/>
        <w:t>Proposal 2c: Msg3 identification is supported in case Msg1 identification is optionally configured, if agreed by RAN1.</w:t>
      </w:r>
    </w:p>
    <w:p w14:paraId="0CB149FB" w14:textId="77777777" w:rsidR="008A637F" w:rsidRPr="008A637F" w:rsidRDefault="008A637F" w:rsidP="008A637F">
      <w:pPr>
        <w:rPr>
          <w:b/>
          <w:bCs/>
          <w:sz w:val="20"/>
          <w:lang w:val="en-GB"/>
        </w:rPr>
      </w:pPr>
      <w:r w:rsidRPr="008A637F">
        <w:rPr>
          <w:b/>
          <w:bCs/>
          <w:sz w:val="20"/>
          <w:lang w:val="en-GB"/>
        </w:rPr>
        <w:t>Proposal 3: Two indicators in SIB1 (i.e. either SIB1 message or DCI associated with SIB1) specific for 1RX and 2RX RedCap UEs are used to indicate whether a RedCap UE is allowed to camp on the cell.</w:t>
      </w:r>
    </w:p>
    <w:p w14:paraId="086FC6D4" w14:textId="77777777" w:rsidR="008A637F" w:rsidRPr="008A637F" w:rsidRDefault="008A637F" w:rsidP="008A637F">
      <w:pPr>
        <w:rPr>
          <w:b/>
          <w:bCs/>
          <w:sz w:val="20"/>
          <w:lang w:val="en-GB"/>
        </w:rPr>
      </w:pPr>
      <w:r w:rsidRPr="008A637F">
        <w:rPr>
          <w:b/>
          <w:bCs/>
          <w:sz w:val="20"/>
          <w:lang w:val="en-GB"/>
        </w:rPr>
        <w:t>Proposal 4: RedCap UEs ignore the legacy cellBarred in MIB.</w:t>
      </w:r>
    </w:p>
    <w:p w14:paraId="432B5FAC" w14:textId="77777777" w:rsidR="008A637F" w:rsidRPr="008A637F" w:rsidRDefault="008A637F" w:rsidP="008A637F">
      <w:pPr>
        <w:rPr>
          <w:b/>
          <w:bCs/>
          <w:sz w:val="20"/>
          <w:lang w:val="en-GB"/>
        </w:rPr>
      </w:pPr>
      <w:r w:rsidRPr="008A637F">
        <w:rPr>
          <w:b/>
          <w:bCs/>
          <w:sz w:val="20"/>
          <w:lang w:val="en-GB"/>
        </w:rPr>
        <w:t>Proposal 5: The Intra-frequency reselection indicator should be supported by RedCap UEs. (based on the WID).</w:t>
      </w:r>
    </w:p>
    <w:p w14:paraId="6E0C84C5" w14:textId="43D229C2" w:rsidR="00B34DB5" w:rsidRPr="00B34DB5" w:rsidRDefault="008A637F" w:rsidP="008A637F">
      <w:pPr>
        <w:rPr>
          <w:b/>
          <w:bCs/>
          <w:sz w:val="20"/>
        </w:rPr>
      </w:pPr>
      <w:r w:rsidRPr="008A637F">
        <w:rPr>
          <w:b/>
          <w:bCs/>
          <w:sz w:val="20"/>
          <w:lang w:val="en-GB"/>
        </w:rPr>
        <w:t>Proposal 6: RAN2 discusses whether to extend the AI/AC, a</w:t>
      </w:r>
      <w:r>
        <w:rPr>
          <w:b/>
          <w:bCs/>
          <w:sz w:val="20"/>
          <w:lang w:val="en-GB"/>
        </w:rPr>
        <w:t>fter the feedback from SA/CT LS</w:t>
      </w:r>
      <w:r w:rsidR="00B34DB5" w:rsidRPr="003A644D">
        <w:rPr>
          <w:b/>
          <w:sz w:val="20"/>
        </w:rPr>
        <w:t>.</w:t>
      </w:r>
      <w:r w:rsidR="00B34DB5" w:rsidRPr="003A644D">
        <w:rPr>
          <w:b/>
          <w:bCs/>
          <w:sz w:val="20"/>
        </w:rPr>
        <w:t xml:space="preserve"> </w:t>
      </w:r>
    </w:p>
    <w:p w14:paraId="2AA0DD2E" w14:textId="20676889" w:rsidR="000240AF" w:rsidRPr="00FB7850" w:rsidRDefault="0059182F" w:rsidP="008D36ED">
      <w:pPr>
        <w:pStyle w:val="1"/>
        <w:numPr>
          <w:ilvl w:val="0"/>
          <w:numId w:val="7"/>
        </w:numPr>
      </w:pPr>
      <w:r w:rsidRPr="00220301">
        <w:t>Re</w:t>
      </w:r>
      <w:r w:rsidR="001315B9" w:rsidRPr="00220301">
        <w:t>ference</w:t>
      </w:r>
      <w:r w:rsidR="000240AF" w:rsidRPr="00220301">
        <w:t xml:space="preserve"> </w:t>
      </w:r>
    </w:p>
    <w:p w14:paraId="756FD8FA" w14:textId="1FCD9FFA" w:rsidR="00E210B5" w:rsidRPr="00E210B5" w:rsidRDefault="00E210B5" w:rsidP="008D36ED">
      <w:pPr>
        <w:numPr>
          <w:ilvl w:val="0"/>
          <w:numId w:val="6"/>
        </w:numPr>
        <w:spacing w:after="120" w:line="240" w:lineRule="auto"/>
        <w:ind w:left="539" w:hanging="539"/>
        <w:jc w:val="left"/>
        <w:rPr>
          <w:iCs/>
          <w:sz w:val="20"/>
          <w:lang w:val="en-GB"/>
        </w:rPr>
      </w:pPr>
      <w:r w:rsidRPr="00227C8B">
        <w:rPr>
          <w:iCs/>
          <w:sz w:val="20"/>
          <w:lang w:val="en-GB"/>
        </w:rPr>
        <w:t>RP-210918, Revised WID on support of reduced capability NR devices, Nokia, Ericsson, RAN #91e</w:t>
      </w:r>
      <w:r>
        <w:rPr>
          <w:iCs/>
          <w:sz w:val="20"/>
          <w:lang w:val="en-GB"/>
        </w:rPr>
        <w:t>.</w:t>
      </w:r>
    </w:p>
    <w:p w14:paraId="4254E1AF" w14:textId="766F181F" w:rsidR="00E57133" w:rsidRPr="008E37AC" w:rsidRDefault="004A6719" w:rsidP="008D36ED">
      <w:pPr>
        <w:numPr>
          <w:ilvl w:val="0"/>
          <w:numId w:val="6"/>
        </w:numPr>
        <w:spacing w:after="120" w:line="240" w:lineRule="auto"/>
        <w:ind w:left="539" w:hanging="539"/>
        <w:jc w:val="left"/>
        <w:rPr>
          <w:iCs/>
          <w:sz w:val="20"/>
          <w:lang w:val="en-GB"/>
        </w:rPr>
      </w:pPr>
      <w:r w:rsidRPr="004A6719">
        <w:rPr>
          <w:iCs/>
          <w:sz w:val="20"/>
          <w:lang w:val="en-GB"/>
        </w:rPr>
        <w:t>TR38.875 V1.1.0: Study on support of reduced capability NR devices.</w:t>
      </w:r>
    </w:p>
    <w:sectPr w:rsidR="00E57133" w:rsidRPr="008E37A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ADF86" w14:textId="77777777" w:rsidR="005E69FD" w:rsidRDefault="005E69FD">
      <w:r>
        <w:separator/>
      </w:r>
    </w:p>
    <w:p w14:paraId="138E25F9" w14:textId="77777777" w:rsidR="005E69FD" w:rsidRDefault="005E69FD"/>
  </w:endnote>
  <w:endnote w:type="continuationSeparator" w:id="0">
    <w:p w14:paraId="4F5DCAA2" w14:textId="77777777" w:rsidR="005E69FD" w:rsidRDefault="005E69FD">
      <w:r>
        <w:continuationSeparator/>
      </w:r>
    </w:p>
    <w:p w14:paraId="5C339306" w14:textId="77777777" w:rsidR="005E69FD" w:rsidRDefault="005E6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A6719" w:rsidRDefault="004A6719">
    <w:pPr>
      <w:pStyle w:val="a4"/>
      <w:jc w:val="right"/>
    </w:pPr>
    <w:r>
      <w:fldChar w:fldCharType="begin"/>
    </w:r>
    <w:r>
      <w:instrText xml:space="preserve"> PAGE   \* MERGEFORMAT </w:instrText>
    </w:r>
    <w:r>
      <w:fldChar w:fldCharType="separate"/>
    </w:r>
    <w:r w:rsidR="00A87043">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DB5C5" w14:textId="77777777" w:rsidR="005E69FD" w:rsidRDefault="005E69FD">
      <w:r>
        <w:separator/>
      </w:r>
    </w:p>
    <w:p w14:paraId="60234425" w14:textId="77777777" w:rsidR="005E69FD" w:rsidRDefault="005E69FD"/>
  </w:footnote>
  <w:footnote w:type="continuationSeparator" w:id="0">
    <w:p w14:paraId="6F211460" w14:textId="77777777" w:rsidR="005E69FD" w:rsidRDefault="005E69FD">
      <w:r>
        <w:continuationSeparator/>
      </w:r>
    </w:p>
    <w:p w14:paraId="63178E59" w14:textId="77777777" w:rsidR="005E69FD" w:rsidRDefault="005E69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A6719" w:rsidRDefault="004A6719"/>
  <w:p w14:paraId="756100E0" w14:textId="77777777" w:rsidR="004A6719" w:rsidRDefault="004A67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507676FC"/>
    <w:multiLevelType w:val="hybridMultilevel"/>
    <w:tmpl w:val="EEBC5A58"/>
    <w:lvl w:ilvl="0" w:tplc="514ADE2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6A0168E7"/>
    <w:multiLevelType w:val="multilevel"/>
    <w:tmpl w:val="4B2437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8"/>
  </w:num>
  <w:num w:numId="6">
    <w:abstractNumId w:val="0"/>
  </w:num>
  <w:num w:numId="7">
    <w:abstractNumId w:val="9"/>
  </w:num>
  <w:num w:numId="8">
    <w:abstractNumId w:val="4"/>
  </w:num>
  <w:num w:numId="9">
    <w:abstractNumId w:val="3"/>
  </w:num>
  <w:num w:numId="10">
    <w:abstractNumId w:val="6"/>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D6B"/>
    <w:rsid w:val="000126F5"/>
    <w:rsid w:val="00012946"/>
    <w:rsid w:val="00013F15"/>
    <w:rsid w:val="00015F38"/>
    <w:rsid w:val="00016491"/>
    <w:rsid w:val="000168CE"/>
    <w:rsid w:val="00017D2F"/>
    <w:rsid w:val="00020704"/>
    <w:rsid w:val="00020A8A"/>
    <w:rsid w:val="00020E2B"/>
    <w:rsid w:val="000240AF"/>
    <w:rsid w:val="00024BA4"/>
    <w:rsid w:val="00025990"/>
    <w:rsid w:val="000262F3"/>
    <w:rsid w:val="0002667A"/>
    <w:rsid w:val="00026AE7"/>
    <w:rsid w:val="00030CD2"/>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1FF"/>
    <w:rsid w:val="000B0C75"/>
    <w:rsid w:val="000B1AB0"/>
    <w:rsid w:val="000B1ACF"/>
    <w:rsid w:val="000B20C4"/>
    <w:rsid w:val="000B2C24"/>
    <w:rsid w:val="000B2C38"/>
    <w:rsid w:val="000B587A"/>
    <w:rsid w:val="000B5F31"/>
    <w:rsid w:val="000B7438"/>
    <w:rsid w:val="000C19FB"/>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DE0"/>
    <w:rsid w:val="000D7E08"/>
    <w:rsid w:val="000E0F74"/>
    <w:rsid w:val="000E22A7"/>
    <w:rsid w:val="000E2958"/>
    <w:rsid w:val="000E2FA0"/>
    <w:rsid w:val="000E37C3"/>
    <w:rsid w:val="000E397B"/>
    <w:rsid w:val="000E5ECA"/>
    <w:rsid w:val="000E7D5F"/>
    <w:rsid w:val="000F064E"/>
    <w:rsid w:val="000F0D50"/>
    <w:rsid w:val="000F21B2"/>
    <w:rsid w:val="000F24A4"/>
    <w:rsid w:val="000F39D2"/>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72B"/>
    <w:rsid w:val="00145643"/>
    <w:rsid w:val="0014656A"/>
    <w:rsid w:val="001470E8"/>
    <w:rsid w:val="00147207"/>
    <w:rsid w:val="001500F7"/>
    <w:rsid w:val="0015085C"/>
    <w:rsid w:val="00155420"/>
    <w:rsid w:val="00156591"/>
    <w:rsid w:val="001570F6"/>
    <w:rsid w:val="00162432"/>
    <w:rsid w:val="001627AF"/>
    <w:rsid w:val="00164078"/>
    <w:rsid w:val="001651D4"/>
    <w:rsid w:val="001652C7"/>
    <w:rsid w:val="00165C3F"/>
    <w:rsid w:val="0016674A"/>
    <w:rsid w:val="001674A8"/>
    <w:rsid w:val="00167524"/>
    <w:rsid w:val="00170A65"/>
    <w:rsid w:val="00170B59"/>
    <w:rsid w:val="00170FC4"/>
    <w:rsid w:val="00171382"/>
    <w:rsid w:val="00171447"/>
    <w:rsid w:val="0017205C"/>
    <w:rsid w:val="00173E7B"/>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919"/>
    <w:rsid w:val="001B1813"/>
    <w:rsid w:val="001B27AF"/>
    <w:rsid w:val="001B281F"/>
    <w:rsid w:val="001B2C8C"/>
    <w:rsid w:val="001B413D"/>
    <w:rsid w:val="001B54CE"/>
    <w:rsid w:val="001B5833"/>
    <w:rsid w:val="001B60BB"/>
    <w:rsid w:val="001C0343"/>
    <w:rsid w:val="001C1215"/>
    <w:rsid w:val="001C127F"/>
    <w:rsid w:val="001C1FBB"/>
    <w:rsid w:val="001C28D1"/>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56D0"/>
    <w:rsid w:val="001D766C"/>
    <w:rsid w:val="001D7794"/>
    <w:rsid w:val="001E15AF"/>
    <w:rsid w:val="001E17B4"/>
    <w:rsid w:val="001E2326"/>
    <w:rsid w:val="001E48B7"/>
    <w:rsid w:val="001E60C9"/>
    <w:rsid w:val="001E7C43"/>
    <w:rsid w:val="001F069B"/>
    <w:rsid w:val="001F0B93"/>
    <w:rsid w:val="001F1177"/>
    <w:rsid w:val="001F4E70"/>
    <w:rsid w:val="001F4ECA"/>
    <w:rsid w:val="001F546F"/>
    <w:rsid w:val="001F58BE"/>
    <w:rsid w:val="001F65EF"/>
    <w:rsid w:val="001F7B28"/>
    <w:rsid w:val="0020156A"/>
    <w:rsid w:val="0020204B"/>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A13"/>
    <w:rsid w:val="00235FB6"/>
    <w:rsid w:val="00236BF8"/>
    <w:rsid w:val="002370D8"/>
    <w:rsid w:val="002401FE"/>
    <w:rsid w:val="0024036A"/>
    <w:rsid w:val="002403F6"/>
    <w:rsid w:val="00242D18"/>
    <w:rsid w:val="002434C4"/>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F9C"/>
    <w:rsid w:val="002568F9"/>
    <w:rsid w:val="00257A57"/>
    <w:rsid w:val="00260DB7"/>
    <w:rsid w:val="00264D2C"/>
    <w:rsid w:val="002668E6"/>
    <w:rsid w:val="002675DC"/>
    <w:rsid w:val="00267ACE"/>
    <w:rsid w:val="00267AD3"/>
    <w:rsid w:val="00270F07"/>
    <w:rsid w:val="00271FED"/>
    <w:rsid w:val="00274D21"/>
    <w:rsid w:val="00275A55"/>
    <w:rsid w:val="002769B8"/>
    <w:rsid w:val="00277332"/>
    <w:rsid w:val="002806D9"/>
    <w:rsid w:val="00281616"/>
    <w:rsid w:val="00281B04"/>
    <w:rsid w:val="00282801"/>
    <w:rsid w:val="00283B2D"/>
    <w:rsid w:val="00284CA4"/>
    <w:rsid w:val="00285F40"/>
    <w:rsid w:val="002873AF"/>
    <w:rsid w:val="002878D4"/>
    <w:rsid w:val="00287913"/>
    <w:rsid w:val="00287FB8"/>
    <w:rsid w:val="00290F39"/>
    <w:rsid w:val="00290F62"/>
    <w:rsid w:val="002935F8"/>
    <w:rsid w:val="00293A81"/>
    <w:rsid w:val="00294A2D"/>
    <w:rsid w:val="00296A7D"/>
    <w:rsid w:val="00297BA3"/>
    <w:rsid w:val="00297F77"/>
    <w:rsid w:val="002A01FA"/>
    <w:rsid w:val="002A0A0E"/>
    <w:rsid w:val="002A1C8E"/>
    <w:rsid w:val="002A22EA"/>
    <w:rsid w:val="002A4FE3"/>
    <w:rsid w:val="002A5F84"/>
    <w:rsid w:val="002A76ED"/>
    <w:rsid w:val="002A7BDE"/>
    <w:rsid w:val="002A7FA0"/>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1DBA"/>
    <w:rsid w:val="002D2C4B"/>
    <w:rsid w:val="002D4447"/>
    <w:rsid w:val="002D4766"/>
    <w:rsid w:val="002D51B5"/>
    <w:rsid w:val="002D52BF"/>
    <w:rsid w:val="002D6F60"/>
    <w:rsid w:val="002E0037"/>
    <w:rsid w:val="002E02CB"/>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46B6"/>
    <w:rsid w:val="003D4B50"/>
    <w:rsid w:val="003D4D48"/>
    <w:rsid w:val="003D559D"/>
    <w:rsid w:val="003E217F"/>
    <w:rsid w:val="003E299D"/>
    <w:rsid w:val="003E2BF5"/>
    <w:rsid w:val="003E31A4"/>
    <w:rsid w:val="003E4A02"/>
    <w:rsid w:val="003E4F96"/>
    <w:rsid w:val="003E7DBD"/>
    <w:rsid w:val="003F0765"/>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44BA"/>
    <w:rsid w:val="0047661C"/>
    <w:rsid w:val="00477805"/>
    <w:rsid w:val="00477B8D"/>
    <w:rsid w:val="004839C4"/>
    <w:rsid w:val="00483B91"/>
    <w:rsid w:val="004847C9"/>
    <w:rsid w:val="00484E6F"/>
    <w:rsid w:val="004853D3"/>
    <w:rsid w:val="004861B6"/>
    <w:rsid w:val="00487A99"/>
    <w:rsid w:val="00487D97"/>
    <w:rsid w:val="004903DA"/>
    <w:rsid w:val="00491009"/>
    <w:rsid w:val="004929A7"/>
    <w:rsid w:val="004932F1"/>
    <w:rsid w:val="00496682"/>
    <w:rsid w:val="00496A38"/>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4E45"/>
    <w:rsid w:val="00504F0F"/>
    <w:rsid w:val="005052ED"/>
    <w:rsid w:val="005054B6"/>
    <w:rsid w:val="0050667C"/>
    <w:rsid w:val="00507047"/>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D54"/>
    <w:rsid w:val="005565CB"/>
    <w:rsid w:val="00557BE1"/>
    <w:rsid w:val="00560FC2"/>
    <w:rsid w:val="00561E8D"/>
    <w:rsid w:val="00561EA0"/>
    <w:rsid w:val="0056387A"/>
    <w:rsid w:val="005638D5"/>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F6"/>
    <w:rsid w:val="005B2812"/>
    <w:rsid w:val="005B4543"/>
    <w:rsid w:val="005B62F1"/>
    <w:rsid w:val="005B6DED"/>
    <w:rsid w:val="005C0865"/>
    <w:rsid w:val="005C1775"/>
    <w:rsid w:val="005C2A1D"/>
    <w:rsid w:val="005C2ACB"/>
    <w:rsid w:val="005C31C9"/>
    <w:rsid w:val="005C3FD4"/>
    <w:rsid w:val="005C44E1"/>
    <w:rsid w:val="005C47F7"/>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639"/>
    <w:rsid w:val="005E5900"/>
    <w:rsid w:val="005E69FD"/>
    <w:rsid w:val="005E6A02"/>
    <w:rsid w:val="005E6B54"/>
    <w:rsid w:val="005F068B"/>
    <w:rsid w:val="005F074E"/>
    <w:rsid w:val="005F0C44"/>
    <w:rsid w:val="005F110A"/>
    <w:rsid w:val="005F3163"/>
    <w:rsid w:val="005F32F3"/>
    <w:rsid w:val="005F69A1"/>
    <w:rsid w:val="00600711"/>
    <w:rsid w:val="00600B92"/>
    <w:rsid w:val="006021D9"/>
    <w:rsid w:val="00602808"/>
    <w:rsid w:val="00602BA5"/>
    <w:rsid w:val="00603543"/>
    <w:rsid w:val="00603B1B"/>
    <w:rsid w:val="00605D63"/>
    <w:rsid w:val="006103D7"/>
    <w:rsid w:val="00612150"/>
    <w:rsid w:val="0061274C"/>
    <w:rsid w:val="00612928"/>
    <w:rsid w:val="0061412C"/>
    <w:rsid w:val="006148F0"/>
    <w:rsid w:val="00617E3D"/>
    <w:rsid w:val="00620B0A"/>
    <w:rsid w:val="0062183E"/>
    <w:rsid w:val="00622C09"/>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7EF3"/>
    <w:rsid w:val="0064053C"/>
    <w:rsid w:val="006409F8"/>
    <w:rsid w:val="00641859"/>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269"/>
    <w:rsid w:val="006656A8"/>
    <w:rsid w:val="00666774"/>
    <w:rsid w:val="00667B4D"/>
    <w:rsid w:val="00667DCA"/>
    <w:rsid w:val="006708E2"/>
    <w:rsid w:val="006709BE"/>
    <w:rsid w:val="00670AF0"/>
    <w:rsid w:val="00670EE0"/>
    <w:rsid w:val="0067152D"/>
    <w:rsid w:val="00672430"/>
    <w:rsid w:val="006744B5"/>
    <w:rsid w:val="006751EF"/>
    <w:rsid w:val="00675559"/>
    <w:rsid w:val="0067698A"/>
    <w:rsid w:val="00676F5D"/>
    <w:rsid w:val="00677287"/>
    <w:rsid w:val="00677EDC"/>
    <w:rsid w:val="0068026C"/>
    <w:rsid w:val="00680DE8"/>
    <w:rsid w:val="00681173"/>
    <w:rsid w:val="00681BE8"/>
    <w:rsid w:val="00684E45"/>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840"/>
    <w:rsid w:val="006A385A"/>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615B"/>
    <w:rsid w:val="006E01EB"/>
    <w:rsid w:val="006E0705"/>
    <w:rsid w:val="006E0DD5"/>
    <w:rsid w:val="006E18AE"/>
    <w:rsid w:val="006E1AEF"/>
    <w:rsid w:val="006E2CCD"/>
    <w:rsid w:val="006E3D4B"/>
    <w:rsid w:val="006E5655"/>
    <w:rsid w:val="006E67D0"/>
    <w:rsid w:val="006E6DE4"/>
    <w:rsid w:val="006F0F7A"/>
    <w:rsid w:val="006F107E"/>
    <w:rsid w:val="006F12E6"/>
    <w:rsid w:val="006F3372"/>
    <w:rsid w:val="006F42D2"/>
    <w:rsid w:val="006F517F"/>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6B0A"/>
    <w:rsid w:val="007E6C65"/>
    <w:rsid w:val="007F09B9"/>
    <w:rsid w:val="007F1371"/>
    <w:rsid w:val="007F173F"/>
    <w:rsid w:val="007F2273"/>
    <w:rsid w:val="007F2CF7"/>
    <w:rsid w:val="007F2EAF"/>
    <w:rsid w:val="007F4820"/>
    <w:rsid w:val="007F4B61"/>
    <w:rsid w:val="007F4C2D"/>
    <w:rsid w:val="007F6E06"/>
    <w:rsid w:val="00800910"/>
    <w:rsid w:val="00800F98"/>
    <w:rsid w:val="0080121C"/>
    <w:rsid w:val="008018EB"/>
    <w:rsid w:val="008028E6"/>
    <w:rsid w:val="00802D04"/>
    <w:rsid w:val="00802F7D"/>
    <w:rsid w:val="00803B36"/>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4081"/>
    <w:rsid w:val="00827A70"/>
    <w:rsid w:val="00827E82"/>
    <w:rsid w:val="00827FF6"/>
    <w:rsid w:val="00832401"/>
    <w:rsid w:val="00832CAF"/>
    <w:rsid w:val="00833412"/>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A5"/>
    <w:rsid w:val="0087116B"/>
    <w:rsid w:val="00872CC3"/>
    <w:rsid w:val="008735AD"/>
    <w:rsid w:val="00874369"/>
    <w:rsid w:val="00874C25"/>
    <w:rsid w:val="0087578E"/>
    <w:rsid w:val="00875AE3"/>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75B"/>
    <w:rsid w:val="00893A1B"/>
    <w:rsid w:val="00893AF1"/>
    <w:rsid w:val="0089460F"/>
    <w:rsid w:val="00894815"/>
    <w:rsid w:val="00896807"/>
    <w:rsid w:val="00896F18"/>
    <w:rsid w:val="00897FFB"/>
    <w:rsid w:val="008A27BC"/>
    <w:rsid w:val="008A33DF"/>
    <w:rsid w:val="008A39B6"/>
    <w:rsid w:val="008A4D38"/>
    <w:rsid w:val="008A5121"/>
    <w:rsid w:val="008A593D"/>
    <w:rsid w:val="008A5B3D"/>
    <w:rsid w:val="008A637F"/>
    <w:rsid w:val="008A71E5"/>
    <w:rsid w:val="008A72B6"/>
    <w:rsid w:val="008A771B"/>
    <w:rsid w:val="008B05F2"/>
    <w:rsid w:val="008B30DF"/>
    <w:rsid w:val="008B32EE"/>
    <w:rsid w:val="008B55CB"/>
    <w:rsid w:val="008B7536"/>
    <w:rsid w:val="008C3C62"/>
    <w:rsid w:val="008C4188"/>
    <w:rsid w:val="008C5242"/>
    <w:rsid w:val="008C5246"/>
    <w:rsid w:val="008C5B2B"/>
    <w:rsid w:val="008C6887"/>
    <w:rsid w:val="008C6C8A"/>
    <w:rsid w:val="008D01E0"/>
    <w:rsid w:val="008D0E17"/>
    <w:rsid w:val="008D1E45"/>
    <w:rsid w:val="008D2205"/>
    <w:rsid w:val="008D2A46"/>
    <w:rsid w:val="008D35F1"/>
    <w:rsid w:val="008D36ED"/>
    <w:rsid w:val="008D3AAC"/>
    <w:rsid w:val="008D53AB"/>
    <w:rsid w:val="008D734B"/>
    <w:rsid w:val="008D7B78"/>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BFE"/>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B0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50800"/>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043"/>
    <w:rsid w:val="00A87B87"/>
    <w:rsid w:val="00A905D1"/>
    <w:rsid w:val="00A90E61"/>
    <w:rsid w:val="00A91E64"/>
    <w:rsid w:val="00A92406"/>
    <w:rsid w:val="00A93C34"/>
    <w:rsid w:val="00A94200"/>
    <w:rsid w:val="00A94940"/>
    <w:rsid w:val="00A95373"/>
    <w:rsid w:val="00A95C5B"/>
    <w:rsid w:val="00A9683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D67"/>
    <w:rsid w:val="00AB5386"/>
    <w:rsid w:val="00AB58F1"/>
    <w:rsid w:val="00AB741B"/>
    <w:rsid w:val="00AC14D1"/>
    <w:rsid w:val="00AC168F"/>
    <w:rsid w:val="00AC2433"/>
    <w:rsid w:val="00AC40BD"/>
    <w:rsid w:val="00AC4751"/>
    <w:rsid w:val="00AC561E"/>
    <w:rsid w:val="00AC5AA7"/>
    <w:rsid w:val="00AC65B9"/>
    <w:rsid w:val="00AC6745"/>
    <w:rsid w:val="00AC6898"/>
    <w:rsid w:val="00AC698B"/>
    <w:rsid w:val="00AC6B71"/>
    <w:rsid w:val="00AC6E1D"/>
    <w:rsid w:val="00AD00AB"/>
    <w:rsid w:val="00AD04E4"/>
    <w:rsid w:val="00AD15FB"/>
    <w:rsid w:val="00AD2595"/>
    <w:rsid w:val="00AD2DEE"/>
    <w:rsid w:val="00AD35F6"/>
    <w:rsid w:val="00AD3FA1"/>
    <w:rsid w:val="00AD4DA9"/>
    <w:rsid w:val="00AD6F48"/>
    <w:rsid w:val="00AD732C"/>
    <w:rsid w:val="00AE11E4"/>
    <w:rsid w:val="00AE14AC"/>
    <w:rsid w:val="00AE1745"/>
    <w:rsid w:val="00AE25EF"/>
    <w:rsid w:val="00AE2625"/>
    <w:rsid w:val="00AE2A9A"/>
    <w:rsid w:val="00AE3E14"/>
    <w:rsid w:val="00AE4742"/>
    <w:rsid w:val="00AE508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AFA"/>
    <w:rsid w:val="00B471FB"/>
    <w:rsid w:val="00B4770B"/>
    <w:rsid w:val="00B47D65"/>
    <w:rsid w:val="00B5022F"/>
    <w:rsid w:val="00B5136F"/>
    <w:rsid w:val="00B52252"/>
    <w:rsid w:val="00B52985"/>
    <w:rsid w:val="00B52DA3"/>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9032E"/>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B08"/>
    <w:rsid w:val="00BB3A7E"/>
    <w:rsid w:val="00BB4EE7"/>
    <w:rsid w:val="00BB5192"/>
    <w:rsid w:val="00BB724A"/>
    <w:rsid w:val="00BB75D3"/>
    <w:rsid w:val="00BC0A30"/>
    <w:rsid w:val="00BC1053"/>
    <w:rsid w:val="00BC2A25"/>
    <w:rsid w:val="00BC2F89"/>
    <w:rsid w:val="00BC30DD"/>
    <w:rsid w:val="00BC3299"/>
    <w:rsid w:val="00BC3FC2"/>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D1E"/>
    <w:rsid w:val="00C02BD8"/>
    <w:rsid w:val="00C02EE3"/>
    <w:rsid w:val="00C04272"/>
    <w:rsid w:val="00C0491D"/>
    <w:rsid w:val="00C04E5D"/>
    <w:rsid w:val="00C06DBE"/>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4184"/>
    <w:rsid w:val="00C642AC"/>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E6D60"/>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E4"/>
    <w:rsid w:val="00D06294"/>
    <w:rsid w:val="00D069EA"/>
    <w:rsid w:val="00D1074F"/>
    <w:rsid w:val="00D10E1F"/>
    <w:rsid w:val="00D1119F"/>
    <w:rsid w:val="00D11365"/>
    <w:rsid w:val="00D12D84"/>
    <w:rsid w:val="00D134F9"/>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46F1"/>
    <w:rsid w:val="00D34867"/>
    <w:rsid w:val="00D34A62"/>
    <w:rsid w:val="00D35248"/>
    <w:rsid w:val="00D3650D"/>
    <w:rsid w:val="00D366FB"/>
    <w:rsid w:val="00D36E4D"/>
    <w:rsid w:val="00D37033"/>
    <w:rsid w:val="00D40EA3"/>
    <w:rsid w:val="00D41218"/>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5AAF"/>
    <w:rsid w:val="00D767C9"/>
    <w:rsid w:val="00D76F0E"/>
    <w:rsid w:val="00D77956"/>
    <w:rsid w:val="00D77CC5"/>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31AB"/>
    <w:rsid w:val="00E23803"/>
    <w:rsid w:val="00E2436D"/>
    <w:rsid w:val="00E246CA"/>
    <w:rsid w:val="00E2497C"/>
    <w:rsid w:val="00E253B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B09"/>
    <w:rsid w:val="00E70730"/>
    <w:rsid w:val="00E71CB1"/>
    <w:rsid w:val="00E728D2"/>
    <w:rsid w:val="00E72A28"/>
    <w:rsid w:val="00E73646"/>
    <w:rsid w:val="00E75CC8"/>
    <w:rsid w:val="00E75F68"/>
    <w:rsid w:val="00E76930"/>
    <w:rsid w:val="00E76C26"/>
    <w:rsid w:val="00E77B2D"/>
    <w:rsid w:val="00E82F93"/>
    <w:rsid w:val="00E82FE1"/>
    <w:rsid w:val="00E84859"/>
    <w:rsid w:val="00E84B17"/>
    <w:rsid w:val="00E85B57"/>
    <w:rsid w:val="00E863DB"/>
    <w:rsid w:val="00E8657E"/>
    <w:rsid w:val="00E86FC4"/>
    <w:rsid w:val="00E9062E"/>
    <w:rsid w:val="00E90709"/>
    <w:rsid w:val="00E908F0"/>
    <w:rsid w:val="00E91805"/>
    <w:rsid w:val="00E92D5C"/>
    <w:rsid w:val="00E92FDF"/>
    <w:rsid w:val="00E93761"/>
    <w:rsid w:val="00E9376B"/>
    <w:rsid w:val="00E947E9"/>
    <w:rsid w:val="00E94BCA"/>
    <w:rsid w:val="00E96985"/>
    <w:rsid w:val="00E971EE"/>
    <w:rsid w:val="00E979F9"/>
    <w:rsid w:val="00EA01E3"/>
    <w:rsid w:val="00EA0305"/>
    <w:rsid w:val="00EA1F15"/>
    <w:rsid w:val="00EA385F"/>
    <w:rsid w:val="00EA4096"/>
    <w:rsid w:val="00EA52BD"/>
    <w:rsid w:val="00EA629A"/>
    <w:rsid w:val="00EA789F"/>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696"/>
    <w:rsid w:val="00ED3AE4"/>
    <w:rsid w:val="00ED5553"/>
    <w:rsid w:val="00ED55F6"/>
    <w:rsid w:val="00ED6D0F"/>
    <w:rsid w:val="00ED6E94"/>
    <w:rsid w:val="00EE078F"/>
    <w:rsid w:val="00EE259C"/>
    <w:rsid w:val="00EE266E"/>
    <w:rsid w:val="00EE268F"/>
    <w:rsid w:val="00EE31DA"/>
    <w:rsid w:val="00EE5A1E"/>
    <w:rsid w:val="00EE65AF"/>
    <w:rsid w:val="00EE65B7"/>
    <w:rsid w:val="00EE7672"/>
    <w:rsid w:val="00EF0719"/>
    <w:rsid w:val="00EF166C"/>
    <w:rsid w:val="00EF3020"/>
    <w:rsid w:val="00EF32E9"/>
    <w:rsid w:val="00EF35FC"/>
    <w:rsid w:val="00EF3BCD"/>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300D"/>
    <w:rsid w:val="00F433DC"/>
    <w:rsid w:val="00F436AC"/>
    <w:rsid w:val="00F44627"/>
    <w:rsid w:val="00F4514D"/>
    <w:rsid w:val="00F46206"/>
    <w:rsid w:val="00F46821"/>
    <w:rsid w:val="00F4777A"/>
    <w:rsid w:val="00F478AC"/>
    <w:rsid w:val="00F5044F"/>
    <w:rsid w:val="00F50931"/>
    <w:rsid w:val="00F5101B"/>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EFA"/>
    <w:rsid w:val="00F70828"/>
    <w:rsid w:val="00F72336"/>
    <w:rsid w:val="00F727F0"/>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7850"/>
    <w:rsid w:val="00FB78AD"/>
    <w:rsid w:val="00FC0243"/>
    <w:rsid w:val="00FC27A9"/>
    <w:rsid w:val="00FC327D"/>
    <w:rsid w:val="00FC33F4"/>
    <w:rsid w:val="00FC3602"/>
    <w:rsid w:val="00FC4E6F"/>
    <w:rsid w:val="00FC4FE5"/>
    <w:rsid w:val="00FC5A31"/>
    <w:rsid w:val="00FC5C16"/>
    <w:rsid w:val="00FC6200"/>
    <w:rsid w:val="00FC6E3D"/>
    <w:rsid w:val="00FC78A2"/>
    <w:rsid w:val="00FD0CBF"/>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5354"/>
    <w:rsid w:val="00FE7B6C"/>
    <w:rsid w:val="00FF0A38"/>
    <w:rsid w:val="00FF1AB4"/>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A778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74164710">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86E84-E1EE-48E7-986A-E397D159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1756</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21</cp:revision>
  <cp:lastPrinted>2019-02-06T17:41:00Z</cp:lastPrinted>
  <dcterms:created xsi:type="dcterms:W3CDTF">2021-05-05T14:11:00Z</dcterms:created>
  <dcterms:modified xsi:type="dcterms:W3CDTF">2021-05-11T02:38:00Z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(3)E54Ogw8/L8d2cpgazPNt/vZsicp3jJP9hM4ziQz5Eeivch2WuGBz6YcFXWQruaPoB8eIv9ad
egezTHryFKd9qPE7cIOf7ohwyaUCjf55m0x/+kqJKkNMLmtl/q+hldam2CvZVPJIQtXlsP8d
qsTcdlS+rQbQ2RBbt5Mo98tzdoaSpjOHfoj3ealBpAo7q/O/LHLdAAGA0Z0iLGtw+LHza1/8
6Nh1s/LZxKCOgE1PiY</vt:lpwstr>
  </property>
  <property fmtid="{D5CDD505-2E9C-101B-9397-08002B2CF9AE}" pid="4" name="_2015_ms_pID_7253431">
    <vt:lpwstr>oex5sw9J1rPH5b7TwWvCBvna3NcGXHFccS6eH7gOgTLNqdqm6jJ05D
/nvNrKKBkKeCTfJo4TYVh/c1Ol0TiAWyNjGiOs2erzXxLheTM7pzO4VCCX1Q+C5Dt68H9zmG
7YnzTokGWvX5U5BrIPurHgpYVhC3mZRmhL8aTx5s7TSInGXs/SJa9ttTb2Xuhm+FuxPxAN5J
DKJg0ysIo6A3T/Slr7a+z1qA8kJG6tpQEgc7</vt:lpwstr>
  </property>
  <property fmtid="{D5CDD505-2E9C-101B-9397-08002B2CF9AE}" pid="5" name="_2015_ms_pID_7253432">
    <vt:lpwstr>vw==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1620204198</vt:lpwstr>
  </property>
</Properties>
</file>